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840" w:rsidRDefault="00A11605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795840" w:rsidRDefault="007958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840" w:rsidRDefault="007958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5840" w:rsidRDefault="00A11605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795840" w:rsidRDefault="007958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840" w:rsidRDefault="00A1160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предпринимателей продлили программу поддержки по продвижению на платформе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Услуги»</w:t>
      </w:r>
    </w:p>
    <w:p w:rsidR="00795840" w:rsidRDefault="00795840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экономического развития Российской Федерации совместно с платформой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Услуги» продлевают прием                               заявок на программу по продвижению предпринимателей сферы услуг                  до 31 марта 2024 года.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партнерской программы получают бонусы при пополнении кошелька для продвижения своего бизнеса на платформе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Услуги».</w:t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распространяется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индивидуальных предпринимателей и организации, работающие в сфере услуг. Воспользоваться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оддержкой могут предприниматели с подтвержденными данными, зарегистрированные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исполнители услуг. Бонусы на продвижение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Услугах» доступны также и предпринимателям, которые за последний год не приобретали услуги продвижения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на 3 000,00 рублей, или являются новыми пользователями.</w:t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«Расширение каналов предложения товаров и услуг является одним из факторов повышения жизнеспособности малого и среднего предпринимательства. Поэтому мы реализуем партнёрские программы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интернет-платформами. За месяц проведения данной программы субъекты малого и среднего предпринимательства уже смогли получить более 1,7 миллиона бонусных рублей. Наиболее активно заявки на программу подают предприниматели из сфер с высоким спросом.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оказывают деловые, например, бухгалтерские и юридические услуги, а также услуги в сфере перевозок, строительства, ремонта и установки техники», – отметила заместитель министра экономического развития Российской Федерации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которые пополнят кошелек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платежом на сумму от 3 000,00 рублей в период со 2 февраля                                     по 14 апреля 2024 года,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начислит бонусами 100 процентов от суммы этого платежа и всех последующих. В общей слож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может быть начислено до 22 000 бонусов за всю программу. Бонусы будут доступны в течение одного месяца с момента их начисления – ими можно будет оплатить до 99 процентов стоимости услуг продвижения для объявлений в категории «Услуги». </w:t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изуется на базе центров «Мой бизнес», действующих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национального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инициировал Президент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курирует первый вице-премьер Андрей Белоусов.</w:t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Оператор партнерской программы – Национальное агентство развития предпринимательства «Мой бизнес – мои возможности» (Ассоциация «Мой бизнес»).</w:t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«Мы видим, что предприниматели все чаще предпочитают онлайн-кана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такие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привлечения клиентов. Они ищут выгодные и комплексные инструменты для продвижения своих услуг. Поэтому совместно с Министерством экономического развития Российской Федерации и центрами «Мой бизнес» мы запустили уже вторую волну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по поддержке предпринимателей сферы услуг на платформе. Активный интерес пользователей показал, что проект необходимо продлить, а значит, помочь еще большему количеству предпринимателей. И для этого у нас есть вся необходимая инфраструктура и ресурсы»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прокомментировал управляющий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 Федулов.</w:t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указанной меры поддержки предпринимателям в срок     до 31 марта 2024 необходимо обратиться в центр «Мой бизнес»,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функционирующий на базе некоммерческой организации «Фонд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предпринимательства в Ставропольском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fldChar w:fldCharType="begin"/>
      </w:r>
      <w:r>
        <w:instrText xml:space="preserve"> HYPERLINK "https://forms.yandex.ru/u/65b8b5f2d0468831516c9a99/" \o "https://forms.yandex.ru/u/65b8b5f2d0468831516c9a99/" </w:instrText>
      </w:r>
      <w:r>
        <w:fldChar w:fldCharType="separate"/>
      </w:r>
      <w:proofErr w:type="gramStart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</w:t>
      </w:r>
      <w:proofErr w:type="gramEnd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ставить</w:t>
      </w:r>
      <w:proofErr w:type="spellEnd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заявку онлайн по ссылке: https://forms.yandex.ru/u/65b8b5f2d046883151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6c9a99/.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fldChar w:fldCharType="end"/>
      </w:r>
    </w:p>
    <w:p w:rsidR="00795840" w:rsidRDefault="00A116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информация о программе поддержки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Услуги» доступна </w:t>
      </w:r>
      <w:hyperlink r:id="rId13" w:tooltip="https://www.avito.ru/services/smb-cashback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на странице проекта: https://www.avito.ru/services/smb-cashback.</w:t>
        </w:r>
      </w:hyperlink>
    </w:p>
    <w:p w:rsidR="00795840" w:rsidRDefault="007958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40" w:rsidRDefault="007958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840">
      <w:headerReference w:type="default" r:id="rId14"/>
      <w:headerReference w:type="first" r:id="rId15"/>
      <w:footerReference w:type="first" r:id="rId16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05" w:rsidRDefault="00A11605">
      <w:pPr>
        <w:spacing w:after="0" w:line="240" w:lineRule="auto"/>
      </w:pPr>
      <w:r>
        <w:separator/>
      </w:r>
    </w:p>
  </w:endnote>
  <w:endnote w:type="continuationSeparator" w:id="0">
    <w:p w:rsidR="00A11605" w:rsidRDefault="00A1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79584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05" w:rsidRDefault="00A11605">
      <w:pPr>
        <w:spacing w:after="0" w:line="240" w:lineRule="auto"/>
      </w:pPr>
      <w:r>
        <w:separator/>
      </w:r>
    </w:p>
  </w:footnote>
  <w:footnote w:type="continuationSeparator" w:id="0">
    <w:p w:rsidR="00A11605" w:rsidRDefault="00A1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A11605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7D4E31" w:rsidRPr="007D4E31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40" w:rsidRDefault="0079584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1C4"/>
    <w:multiLevelType w:val="hybridMultilevel"/>
    <w:tmpl w:val="DFE87D20"/>
    <w:lvl w:ilvl="0" w:tplc="B90816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F8EAB97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52C0F1E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E754FF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9B8847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C930D2E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B4F232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541078E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E38038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37AF04F3"/>
    <w:multiLevelType w:val="hybridMultilevel"/>
    <w:tmpl w:val="2130A7F8"/>
    <w:lvl w:ilvl="0" w:tplc="5D1C97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F182B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E70C2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FA2E4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96601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7CABF4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2C0AE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9823C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A30988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38862212"/>
    <w:multiLevelType w:val="hybridMultilevel"/>
    <w:tmpl w:val="A3D830FA"/>
    <w:lvl w:ilvl="0" w:tplc="376C7A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AAE9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A68F04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1687E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934F1A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EB07AC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F3CD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6629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2801FF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42A9142E"/>
    <w:multiLevelType w:val="hybridMultilevel"/>
    <w:tmpl w:val="CA269FDC"/>
    <w:lvl w:ilvl="0" w:tplc="52284D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512EE6B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A4C473C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FC6447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14C65F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226AC5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A4F4B1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57D85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BB508B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45F169B0"/>
    <w:multiLevelType w:val="hybridMultilevel"/>
    <w:tmpl w:val="BA585A9E"/>
    <w:lvl w:ilvl="0" w:tplc="BC56DB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E4C37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1FEFE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88E9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2EE9B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D24F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5D2AE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866E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890DD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6373F37"/>
    <w:multiLevelType w:val="hybridMultilevel"/>
    <w:tmpl w:val="B8C027C4"/>
    <w:lvl w:ilvl="0" w:tplc="DBD629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A3A5DF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E044A2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72234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F72D09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342605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9451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6E095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6A4C7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6FD50D8A"/>
    <w:multiLevelType w:val="hybridMultilevel"/>
    <w:tmpl w:val="45E4B406"/>
    <w:lvl w:ilvl="0" w:tplc="DC96FB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2434617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3F923F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577CBA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C024B84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DD9AE41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A9407E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A2F4E3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44386B8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0"/>
    <w:rsid w:val="00795840"/>
    <w:rsid w:val="007D4E31"/>
    <w:rsid w:val="00A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avito.ru/services/smb-cashba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2024-02-08T12:41:00Z</dcterms:created>
  <dcterms:modified xsi:type="dcterms:W3CDTF">2024-02-08T12:41:00Z</dcterms:modified>
  <dc:language>ru-RU</dc:language>
</cp:coreProperties>
</file>