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6AFB" w14:textId="6B284732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t>Минобрнауки будет расширять практику целевого обучения в вузах</w:t>
      </w:r>
    </w:p>
    <w:p w14:paraId="03403B22" w14:textId="77777777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</w:p>
    <w:p w14:paraId="3E261969" w14:textId="333F6550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t>Минобрнауки РФ в целях адресной подготовки кадров планирует расширять практику применения механизма целевого обучения в вузах, это касается, в частности, инженерных специальностей. Об этом говорится в официальном ответе ведомства на запрос главы комитета Совета Федерации по экономической политике Андрея Кутепова, документ имеется в распоряжении ТАСС.</w:t>
      </w:r>
    </w:p>
    <w:p w14:paraId="467312D2" w14:textId="311833AD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t>Как отмечал в запросе сенатор, в настоящее время требуется обеспечить предприятия страны инженерными кадрами на долгосрочную перспективу. По его словам, для этого, в частности, нужна материальная база, «чтобы пресечь перетекание кадров в города, входящие в первые 10 регионов России по уровню социально-экономического развития».</w:t>
      </w:r>
    </w:p>
    <w:p w14:paraId="42E9196B" w14:textId="08834FA3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t>«В целях адресной подготовки кадров, в том числе по инженерным специальностям, Минобрнауки России считает целесообразным расширение практики применения механизма целевого обучения путем заключения целевых договоров с поступающими на программы высшего образования, а также с уже обучающимися в образовательных организациях на соответствующих образовательных программах, в том числе в других субъектах РФ», – говорится в документе, подписанном замглавы министерства Дмитрием Афанасьевым.</w:t>
      </w:r>
    </w:p>
    <w:p w14:paraId="02DD3320" w14:textId="3092E740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t>В министерстве отмечают, что не только доступность высшего образования и возможность целевого обучения влияют на выбор поступающими тех или иных специальностей. «Важны также возможности трудоустройства в регионе и конкурентная заработная плата выпускников, наличие благоприятных условий социальной среды (наличие жилья, детских садов, медицинского обслуживания, наличие физкультурных и досуговых центров для молодых специалистов)», – подчеркивается в документе.</w:t>
      </w:r>
    </w:p>
    <w:p w14:paraId="23B3EF78" w14:textId="0EBE3D39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t>В ведомстве добавили, что численность обучающихся на разных курсах по программам бакалавриата, магистратуры и специалитета по договорам о целевом обучении по инженерным специальностям составляет 67 385 человек.</w:t>
      </w:r>
    </w:p>
    <w:p w14:paraId="0AA08672" w14:textId="58782CEC" w:rsidR="00727C91" w:rsidRDefault="004C0EF4" w:rsidP="004C0EF4">
      <w:pPr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t xml:space="preserve">В июне 2022 года в пресс-службе Минобрнауки РФ пояснили ТАСС, что основной инструмент целевого обучения – это прием на бюджетные места в рамках квоты приема на целевое обучение, для этого для набора студентов проводится отдельный конкурс. На него проходные баллы традиционно ниже, что «добавляет устойчивый интерес абитуриентов к механизму». Обратной стороной низкого проходного балла является более низкий уровень </w:t>
      </w:r>
      <w:r w:rsidRPr="004C0EF4">
        <w:rPr>
          <w:rFonts w:ascii="Times New Roman" w:hAnsi="Times New Roman" w:cs="Times New Roman"/>
          <w:sz w:val="28"/>
          <w:szCs w:val="28"/>
        </w:rPr>
        <w:lastRenderedPageBreak/>
        <w:t>подготовки абитуриентов, что в будущем может повлечь за собой недостаточный уровень успеваемости, отметили в министерстве. При этом в настоящее время заказчики целевого обучения не имеют инструмента контроля и влияния на процесс обучения целевиков.</w:t>
      </w:r>
    </w:p>
    <w:p w14:paraId="49C00B2A" w14:textId="65F83200" w:rsidR="004C0EF4" w:rsidRDefault="004C0EF4" w:rsidP="004C0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324">
        <w:rPr>
          <w:rFonts w:ascii="Times New Roman" w:hAnsi="Times New Roman" w:cs="Times New Roman"/>
          <w:sz w:val="28"/>
          <w:szCs w:val="28"/>
        </w:rPr>
        <w:t>Практика целевого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в России</w:t>
      </w:r>
      <w:r w:rsidRPr="00134324">
        <w:rPr>
          <w:rFonts w:ascii="Times New Roman" w:hAnsi="Times New Roman" w:cs="Times New Roman"/>
          <w:sz w:val="28"/>
          <w:szCs w:val="28"/>
        </w:rPr>
        <w:t xml:space="preserve"> существует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134324">
        <w:rPr>
          <w:rFonts w:ascii="Times New Roman" w:hAnsi="Times New Roman" w:cs="Times New Roman"/>
          <w:sz w:val="28"/>
          <w:szCs w:val="28"/>
        </w:rPr>
        <w:t xml:space="preserve">с советского периода. </w:t>
      </w:r>
      <w:r>
        <w:rPr>
          <w:rFonts w:ascii="Times New Roman" w:hAnsi="Times New Roman" w:cs="Times New Roman"/>
          <w:sz w:val="28"/>
          <w:szCs w:val="28"/>
        </w:rPr>
        <w:t>В советский период 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помогал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выравнивать уровень подготовки специалистов в регионах до уровня центральных, к примеру, Москвы и Санкт-Петербурга, компенсировать дефицит специалистов в различных областях народного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целевое обучение дает гарантию на трудоустройство.  Будущий специалист может спокойно, целенаправленно осваивать будущую профессию и совершенствоваться в нем, не задумываясь над тем, где найти потом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того, расширение практики целевого обучения будет способствовать социально-экономическому развитию страны и на современном этапе. Также, как и в советский период, оно поможет тем отраслям народного хозяйства, которые являются локомотивом для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Хорошая и добрая традиция целевого обучения и сейчас должна сохраниться. 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34324">
        <w:rPr>
          <w:rFonts w:ascii="Times New Roman" w:hAnsi="Times New Roman" w:cs="Times New Roman"/>
          <w:sz w:val="28"/>
          <w:szCs w:val="28"/>
        </w:rPr>
        <w:t xml:space="preserve">оль и значение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Pr="00134324">
        <w:rPr>
          <w:rFonts w:ascii="Times New Roman" w:hAnsi="Times New Roman" w:cs="Times New Roman"/>
          <w:sz w:val="28"/>
          <w:szCs w:val="28"/>
        </w:rPr>
        <w:t>трудно переоценить</w:t>
      </w:r>
      <w:r>
        <w:rPr>
          <w:rFonts w:ascii="Times New Roman" w:hAnsi="Times New Roman" w:cs="Times New Roman"/>
          <w:sz w:val="28"/>
          <w:szCs w:val="28"/>
        </w:rPr>
        <w:t>», - профессор кафедры истории, права и гуманитарных дисциплин Северо-Кавказского института – филиала РАНХиГС Заурбек Кочесоков.</w:t>
      </w:r>
    </w:p>
    <w:p w14:paraId="15604E40" w14:textId="77777777" w:rsidR="004C0EF4" w:rsidRPr="004C0EF4" w:rsidRDefault="004C0EF4" w:rsidP="004C0EF4">
      <w:pPr>
        <w:rPr>
          <w:rFonts w:ascii="Times New Roman" w:hAnsi="Times New Roman" w:cs="Times New Roman"/>
          <w:sz w:val="28"/>
          <w:szCs w:val="28"/>
        </w:rPr>
      </w:pPr>
    </w:p>
    <w:sectPr w:rsidR="004C0EF4" w:rsidRPr="004C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4"/>
    <w:rsid w:val="003411AC"/>
    <w:rsid w:val="004C0EF4"/>
    <w:rsid w:val="005138D4"/>
    <w:rsid w:val="006E6005"/>
    <w:rsid w:val="00727C91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D77E"/>
  <w15:chartTrackingRefBased/>
  <w15:docId w15:val="{6602B52B-BE7A-4C79-8237-B3F9D0D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2023-01-29T20:12:00Z</dcterms:created>
  <dcterms:modified xsi:type="dcterms:W3CDTF">2023-01-29T20:14:00Z</dcterms:modified>
</cp:coreProperties>
</file>