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080" w:rsidRDefault="000F765F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-588644</wp:posOffset>
                </wp:positionH>
                <wp:positionV relativeFrom="paragraph">
                  <wp:posOffset>-360679</wp:posOffset>
                </wp:positionV>
                <wp:extent cx="6628130" cy="1564005"/>
                <wp:effectExtent l="0" t="0" r="0" b="0"/>
                <wp:wrapNone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3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</w:p>
    <w:p w:rsidR="00236080" w:rsidRDefault="00236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080" w:rsidRDefault="00236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6080" w:rsidRDefault="000F765F">
      <w:pPr>
        <w:pStyle w:val="af5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236080" w:rsidRDefault="00236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80" w:rsidRDefault="00236080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080" w:rsidRDefault="00236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80" w:rsidRDefault="000F765F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Календарь предпринимателя на июль 2024 года</w:t>
      </w:r>
    </w:p>
    <w:p w:rsidR="00236080" w:rsidRDefault="00236080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летний месяц не позволяет бизнесу расслабиться. В июле у многих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предпринимателей добавляются квартальные платежи и отчеты, ИП уплачивают за себя страховые взносы и НДФЛ за прошлый год. Организациям, имеющим транспорт и недвижимость, необходимо внести авансы по имущественным налогам. Не пропустить важные для бизнеса дат</w:t>
      </w:r>
      <w:r>
        <w:rPr>
          <w:rFonts w:ascii="Times New Roman" w:eastAsia="Times New Roman" w:hAnsi="Times New Roman" w:cs="Times New Roman"/>
          <w:sz w:val="28"/>
          <w:szCs w:val="28"/>
        </w:rPr>
        <w:t>ы поможет календарь предпринимателя, который АО «Корпорация МСП» составляет ежемесячно.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июля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ИП уплачивают за себя взносы на пенсионное страхование за прошлый год – 1 % с дохода, превышающего 300 тысяч рублей. Уведомление для ЕНП не нужно, но на счете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 быть достаточно средств.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июля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и 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сотрудниками направляют уведомление о суммах НДФЛ за сотрудников за период с 23 по 30 июня, 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июля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уплачивают его (если в это время были выплаты).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уплачивают НДФЛ за </w:t>
      </w:r>
      <w:r>
        <w:rPr>
          <w:rFonts w:ascii="Times New Roman" w:eastAsia="Times New Roman" w:hAnsi="Times New Roman" w:cs="Times New Roman"/>
          <w:sz w:val="28"/>
          <w:szCs w:val="28"/>
        </w:rPr>
        <w:t>себя за 2023 год;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 и 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сотрудниками уплачивают страховые взносы в СФР «на травматизм» за июнь.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июля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импортеры товаров из стран ЕАЭС уплачивают косвенные налоги и сдают декларацию за июнь. 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 июля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уплачивают аванс по НДФЛ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себя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ИП на УСН и ЕСХН направляют уведомление для ЕНП о сумме аванса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ИП с сотрудниками сдают:</w:t>
      </w:r>
    </w:p>
    <w:p w:rsidR="00236080" w:rsidRDefault="000F765F">
      <w:pPr>
        <w:pStyle w:val="ac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(поэтому </w:t>
      </w:r>
      <w:hyperlink r:id="rId13" w:tooltip="https://www.nalog.gov.ru/rn77/about_fts/about_nalog/13318743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можно не подавать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персонифицированные сведения и не указывать суммы взносов в уведомлении для ЕНП);</w:t>
      </w:r>
    </w:p>
    <w:p w:rsidR="00236080" w:rsidRDefault="000F765F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расчет 6-НД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полугодие;</w:t>
      </w:r>
    </w:p>
    <w:p w:rsidR="00236080" w:rsidRDefault="000F765F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о суммах НДФЛ за период с 01.07.2024 по 22.07.2024;</w:t>
      </w:r>
    </w:p>
    <w:p w:rsidR="00236080" w:rsidRDefault="000F765F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по страховым взносам на травматизм в СФР (ЕФС-1).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имеющие транспорт / недвижимость, направляют уведомление для ЕНП о суммах авансов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транспортному и земельному налогам, налогу на имущество по кадастровой стоимости; 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ИП, использующие водный объект по лицензии, сдают декларацию по водному налогу за II квартал;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и ИП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ЕСХН сдают декларацию по НДС (если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используется освобождение по п. 1 ст. 145 НК);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сдают декларацию по налогу на прибыль;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производители подакцизных товаров сдают декларацию;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ИП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АвтоУСН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уплачивают налог за июнь;</w:t>
      </w:r>
    </w:p>
    <w:p w:rsidR="00236080" w:rsidRDefault="000F76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и ИП, которые не платят НДС,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проводили во II квартале операции с импортными товарами, подлежащими </w:t>
      </w:r>
      <w:hyperlink r:id="rId14" w:tooltip="https://www.nalog.gov.ru/rn77/related_activities/spt/" w:history="1"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прослеживаемости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сдают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 об операциях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ними.</w:t>
      </w: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июля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уплачивают: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организации, имеющие недвижимость, транспорт и водные объекты – аванс по налогу на имущество организаций / земельному / транспортному / водному налогу за II квартал;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ИП на УСН и ЕСХН – аванс за II квартал;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ИП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ЕСХН – НДС за II квартал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(если не используется освобождение по п. 1 ст. 145 НК)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аванс по налогу на прибыль;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ИП, привлекающие сотрудников – страховые взносы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июнь и НДФЛ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01.07.2024 по 22.07.2024;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производители подакцизных товаров – акцизы;</w:t>
      </w:r>
    </w:p>
    <w:p w:rsidR="00236080" w:rsidRDefault="000F765F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налог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профдоход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июнь.</w:t>
      </w:r>
    </w:p>
    <w:p w:rsidR="00236080" w:rsidRDefault="00236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080" w:rsidRDefault="000F7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пропустить важные даты помогает сервис </w:t>
      </w:r>
      <w:hyperlink r:id="rId15" w:tooltip="https://xn--l1agf.xn--p1ai/calendar/promo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Календарь предпринимателя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Цифровой платформе МСП.РФ. Его можно настроить под свой бизнес, и он пришлет напоминания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Цифровая платформа создана и развивается в рамках нацпроекта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080" w:rsidRDefault="00236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6080">
      <w:headerReference w:type="default" r:id="rId16"/>
      <w:headerReference w:type="first" r:id="rId17"/>
      <w:footerReference w:type="first" r:id="rId18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5F" w:rsidRDefault="000F765F">
      <w:pPr>
        <w:spacing w:after="0" w:line="240" w:lineRule="auto"/>
      </w:pPr>
      <w:r>
        <w:separator/>
      </w:r>
    </w:p>
  </w:endnote>
  <w:endnote w:type="continuationSeparator" w:id="0">
    <w:p w:rsidR="000F765F" w:rsidRDefault="000F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80" w:rsidRDefault="00236080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5F" w:rsidRDefault="000F765F">
      <w:pPr>
        <w:spacing w:after="0" w:line="240" w:lineRule="auto"/>
      </w:pPr>
      <w:r>
        <w:separator/>
      </w:r>
    </w:p>
  </w:footnote>
  <w:footnote w:type="continuationSeparator" w:id="0">
    <w:p w:rsidR="000F765F" w:rsidRDefault="000F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80" w:rsidRDefault="000F765F">
    <w:pPr>
      <w:pStyle w:val="10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5E2212" w:rsidRPr="005E2212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80" w:rsidRDefault="0023608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53"/>
    <w:multiLevelType w:val="hybridMultilevel"/>
    <w:tmpl w:val="7526C694"/>
    <w:lvl w:ilvl="0" w:tplc="BE066EA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1C06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876D2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B6E96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6C55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6D04E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A81F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5FC66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E214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3D04113"/>
    <w:multiLevelType w:val="hybridMultilevel"/>
    <w:tmpl w:val="879A91C2"/>
    <w:lvl w:ilvl="0" w:tplc="660C36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136213D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F3053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BC8E5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F5B4A8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D602C6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9586C0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03201FC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31D409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357E4DF5"/>
    <w:multiLevelType w:val="hybridMultilevel"/>
    <w:tmpl w:val="08C02AAE"/>
    <w:lvl w:ilvl="0" w:tplc="BC582F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623630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40D81B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1584B3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941A0D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6B7CF6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F0489F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00F4EE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05C0022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35AE0FA2"/>
    <w:multiLevelType w:val="hybridMultilevel"/>
    <w:tmpl w:val="FD4E1EF0"/>
    <w:lvl w:ilvl="0" w:tplc="1DC2202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15BA01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E6EA5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D613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6086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BA4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D047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4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A6C2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37A50"/>
    <w:multiLevelType w:val="hybridMultilevel"/>
    <w:tmpl w:val="206C3DB6"/>
    <w:lvl w:ilvl="0" w:tplc="BF2437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7374AE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E034CD6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2BAEE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23EA266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614052C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1A0EE0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EF5C21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11692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5">
    <w:nsid w:val="41E07195"/>
    <w:multiLevelType w:val="hybridMultilevel"/>
    <w:tmpl w:val="707CE3F0"/>
    <w:lvl w:ilvl="0" w:tplc="159C4D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11496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8301C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F42CE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9C59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25AA6F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AF0B6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3666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54447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4BD2697E"/>
    <w:multiLevelType w:val="hybridMultilevel"/>
    <w:tmpl w:val="C96CCC82"/>
    <w:lvl w:ilvl="0" w:tplc="1EC4C2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DFEC2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A88C81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F94D8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3A42A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D888C1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AE8D0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48F0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A76F62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>
    <w:nsid w:val="53BC19FF"/>
    <w:multiLevelType w:val="hybridMultilevel"/>
    <w:tmpl w:val="0142846E"/>
    <w:lvl w:ilvl="0" w:tplc="D4487E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ADC06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65C07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E5641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DABA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8BEF0A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226DB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D7E34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C60CB5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0"/>
    <w:rsid w:val="000F765F"/>
    <w:rsid w:val="00236080"/>
    <w:rsid w:val="005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8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0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  <w:pPr>
      <w:spacing w:after="200" w:line="276" w:lineRule="auto"/>
    </w:pPr>
  </w:style>
  <w:style w:type="paragraph" w:styleId="af4">
    <w:name w:val="table of figures"/>
    <w:basedOn w:val="a"/>
    <w:uiPriority w:val="99"/>
    <w:unhideWhenUsed/>
    <w:pPr>
      <w:spacing w:after="0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  <w:style w:type="paragraph" w:customStyle="1" w:styleId="element-show">
    <w:name w:val="element-sho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alog.gov.ru/rn77/about_fts/about_nalog/13318743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xn--l1agf.xn--p1ai/calendar/prom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www.nalog.gov.ru/rn77/related_activities/s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2024-07-03T11:13:00Z</dcterms:created>
  <dcterms:modified xsi:type="dcterms:W3CDTF">2024-07-03T11:13:00Z</dcterms:modified>
  <dc:language>ru-RU</dc:language>
</cp:coreProperties>
</file>