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D215A" w14:textId="7AA61780" w:rsidR="00570079" w:rsidRDefault="00570079" w:rsidP="007F4948">
      <w:pPr>
        <w:pStyle w:val="a3"/>
        <w:spacing w:before="0" w:after="0"/>
        <w:textAlignment w:val="baseline"/>
        <w:rPr>
          <w:rStyle w:val="a4"/>
          <w:rFonts w:ascii="ALS Hauss Medium" w:hAnsi="ALS Hauss Medium" w:cs="Arial"/>
          <w:color w:val="000000"/>
          <w:sz w:val="30"/>
          <w:szCs w:val="30"/>
          <w:bdr w:val="none" w:sz="0" w:space="0" w:color="auto" w:frame="1"/>
        </w:rPr>
      </w:pPr>
      <w:r>
        <w:rPr>
          <w:rStyle w:val="a4"/>
          <w:rFonts w:ascii="ALS Hauss Medium" w:hAnsi="ALS Hauss Medium" w:cs="Arial"/>
          <w:color w:val="000000"/>
          <w:sz w:val="30"/>
          <w:szCs w:val="30"/>
          <w:bdr w:val="none" w:sz="0" w:space="0" w:color="auto" w:frame="1"/>
        </w:rPr>
        <w:t xml:space="preserve">Эксперт РАНХиГС рассказала о </w:t>
      </w:r>
      <w:r>
        <w:rPr>
          <w:rStyle w:val="a4"/>
          <w:rFonts w:ascii="ALS Hauss Medium" w:hAnsi="ALS Hauss Medium" w:cs="Arial"/>
          <w:color w:val="000000"/>
          <w:sz w:val="30"/>
          <w:szCs w:val="30"/>
          <w:bdr w:val="none" w:sz="0" w:space="0" w:color="auto" w:frame="1"/>
        </w:rPr>
        <w:t>программе льготной ипотеки как драйвере развития отрасли жилищного строительства</w:t>
      </w:r>
    </w:p>
    <w:p w14:paraId="3098297B" w14:textId="77777777" w:rsidR="00570079" w:rsidRDefault="00570079" w:rsidP="007F4948">
      <w:pPr>
        <w:pStyle w:val="a3"/>
        <w:spacing w:before="0" w:after="0"/>
        <w:textAlignment w:val="baseline"/>
        <w:rPr>
          <w:rStyle w:val="a4"/>
          <w:rFonts w:ascii="ALS Hauss Medium" w:hAnsi="ALS Hauss Medium" w:cs="Arial"/>
          <w:color w:val="000000"/>
          <w:sz w:val="30"/>
          <w:szCs w:val="30"/>
          <w:bdr w:val="none" w:sz="0" w:space="0" w:color="auto" w:frame="1"/>
        </w:rPr>
      </w:pPr>
    </w:p>
    <w:p w14:paraId="0803A028" w14:textId="2F357361" w:rsidR="007F4948" w:rsidRDefault="007F4948" w:rsidP="007F4948">
      <w:pPr>
        <w:pStyle w:val="a3"/>
        <w:spacing w:before="0" w:after="0"/>
        <w:textAlignment w:val="baseline"/>
        <w:rPr>
          <w:rFonts w:ascii="Arial" w:hAnsi="Arial" w:cs="Arial"/>
          <w:color w:val="000000"/>
          <w:sz w:val="30"/>
          <w:szCs w:val="30"/>
        </w:rPr>
      </w:pPr>
      <w:r>
        <w:rPr>
          <w:rStyle w:val="a4"/>
          <w:rFonts w:ascii="ALS Hauss Medium" w:hAnsi="ALS Hauss Medium" w:cs="Arial"/>
          <w:color w:val="000000"/>
          <w:sz w:val="30"/>
          <w:szCs w:val="30"/>
          <w:bdr w:val="none" w:sz="0" w:space="0" w:color="auto" w:frame="1"/>
        </w:rPr>
        <w:t xml:space="preserve">Елена Акопян, доцент кафедры экономики и финансового права </w:t>
      </w:r>
      <w:proofErr w:type="spellStart"/>
      <w:r>
        <w:rPr>
          <w:rStyle w:val="a4"/>
          <w:rFonts w:ascii="ALS Hauss Medium" w:hAnsi="ALS Hauss Medium" w:cs="Arial"/>
          <w:color w:val="000000"/>
          <w:sz w:val="30"/>
          <w:szCs w:val="30"/>
          <w:bdr w:val="none" w:sz="0" w:space="0" w:color="auto" w:frame="1"/>
        </w:rPr>
        <w:t>Северо</w:t>
      </w:r>
      <w:proofErr w:type="spellEnd"/>
      <w:r>
        <w:rPr>
          <w:rStyle w:val="a4"/>
          <w:rFonts w:ascii="ALS Hauss Medium" w:hAnsi="ALS Hauss Medium" w:cs="Arial"/>
          <w:color w:val="000000"/>
          <w:sz w:val="30"/>
          <w:szCs w:val="30"/>
          <w:bdr w:val="none" w:sz="0" w:space="0" w:color="auto" w:frame="1"/>
        </w:rPr>
        <w:t>–Кавказского института – филиала РАНХиГС, кандидат экономических наук – о программе льготной ипотеки как драйвере развития отрасли жилищного строительства:</w:t>
      </w:r>
    </w:p>
    <w:p w14:paraId="0E23DC80" w14:textId="77777777" w:rsidR="007F4948" w:rsidRDefault="007F4948" w:rsidP="007F4948">
      <w:pPr>
        <w:pStyle w:val="a3"/>
        <w:textAlignment w:val="baseline"/>
        <w:rPr>
          <w:rFonts w:ascii="Arial" w:hAnsi="Arial" w:cs="Arial"/>
          <w:color w:val="000000"/>
          <w:sz w:val="30"/>
          <w:szCs w:val="30"/>
        </w:rPr>
      </w:pPr>
      <w:r>
        <w:rPr>
          <w:rFonts w:ascii="Arial" w:hAnsi="Arial" w:cs="Arial"/>
          <w:color w:val="000000"/>
          <w:sz w:val="30"/>
          <w:szCs w:val="30"/>
        </w:rPr>
        <w:t>Ипотечное кредитование традиционно выступает инструментом формирования спроса в строительной отрасли и является катализатором динамичного развития других отраслей национального хозяйства. По оперативным данным Росстата, в период с января по ноябрь 2022 года наблюдается положительная динамика прироста ввода в строй жилых помещений – 14,9% по сравнению с аналогичным периодом 2021 г. Государственные программы льготного кредитования, реализуемые на территории РФ, позволили нарастить объемы вводимого жилья за счет повышения его доступности для населения. Анализ данных демонстрирует расширение количества участников программ, расширение линейки продуктов льготного кредитования и, как следствие, наращивание объемов выданных кредитов на приобретение жилья. Согласно исследованию Frank RG о структуре портфеля розничных кредитов российских банков, доля ипотечного кредитования составляет 51,9% в общем объеме выданных кредитов. В целом выдачу ипотечных кредитов осуществляют 247 банков, из которых 76 банков участвуют в программе льготной ипотеки. По данным финансового института развития в жилищной сфере, прирост объема выданных кредитов в ходе реализации программ льготного кредитования за период с январь по ноябрь 2022 года составляет 64,39 млрд. руб.</w:t>
      </w:r>
    </w:p>
    <w:p w14:paraId="10CED64C" w14:textId="77777777" w:rsidR="007F4948" w:rsidRDefault="007F4948" w:rsidP="007F4948">
      <w:pPr>
        <w:pStyle w:val="a3"/>
        <w:textAlignment w:val="baseline"/>
        <w:rPr>
          <w:rFonts w:ascii="Arial" w:hAnsi="Arial" w:cs="Arial"/>
          <w:color w:val="000000"/>
          <w:sz w:val="30"/>
          <w:szCs w:val="30"/>
        </w:rPr>
      </w:pPr>
      <w:r>
        <w:rPr>
          <w:rFonts w:ascii="Arial" w:hAnsi="Arial" w:cs="Arial"/>
          <w:color w:val="000000"/>
          <w:sz w:val="30"/>
          <w:szCs w:val="30"/>
        </w:rPr>
        <w:t>Пролонгация программ льготного кредитования в 2023 году и изменение условий выдачи ипотеки на льготных условиях позволят и далее развивать строительную отрасль за счет расширения потенциальных заемщиков. Так, например, появится возможность оформить семейную ипотеку гражданам РФ, имеющим двух и более детей, не достигших 18 лет на дату заключения договора.</w:t>
      </w:r>
    </w:p>
    <w:p w14:paraId="6F98A949" w14:textId="77777777" w:rsidR="00727C91" w:rsidRDefault="00727C91"/>
    <w:sectPr w:rsidR="00727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S Hauss Medium">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B27"/>
    <w:rsid w:val="003411AC"/>
    <w:rsid w:val="00570079"/>
    <w:rsid w:val="006E6005"/>
    <w:rsid w:val="00727C91"/>
    <w:rsid w:val="007F4948"/>
    <w:rsid w:val="00A2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1CB2"/>
  <w15:chartTrackingRefBased/>
  <w15:docId w15:val="{6915F20B-F177-41D8-AA19-2A4EFE30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9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4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9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Идрисова Мадина Мусаевна</dc:creator>
  <cp:keywords/>
  <dc:description/>
  <cp:lastModifiedBy>Идрисова Мадина Мусаевна</cp:lastModifiedBy>
  <cp:revision>3</cp:revision>
  <dcterms:created xsi:type="dcterms:W3CDTF">2023-01-15T20:15:00Z</dcterms:created>
  <dcterms:modified xsi:type="dcterms:W3CDTF">2023-01-16T11:35:00Z</dcterms:modified>
</cp:coreProperties>
</file>