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E3499" w14:textId="3251F946" w:rsidR="007D7CCA" w:rsidRPr="00F65F47" w:rsidRDefault="00F65F47" w:rsidP="005F31A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Эксперт РАНХиГС о н</w:t>
      </w:r>
      <w:r w:rsidR="005F31A3" w:rsidRPr="00F65F47">
        <w:rPr>
          <w:rFonts w:ascii="Times New Roman" w:hAnsi="Times New Roman"/>
          <w:b/>
        </w:rPr>
        <w:t>овы</w:t>
      </w:r>
      <w:r>
        <w:rPr>
          <w:rFonts w:ascii="Times New Roman" w:hAnsi="Times New Roman"/>
          <w:b/>
        </w:rPr>
        <w:t>х</w:t>
      </w:r>
      <w:r w:rsidR="005F31A3" w:rsidRPr="00F65F47">
        <w:rPr>
          <w:rFonts w:ascii="Times New Roman" w:hAnsi="Times New Roman"/>
          <w:b/>
        </w:rPr>
        <w:t xml:space="preserve"> мер</w:t>
      </w:r>
      <w:r>
        <w:rPr>
          <w:rFonts w:ascii="Times New Roman" w:hAnsi="Times New Roman"/>
          <w:b/>
        </w:rPr>
        <w:t>ах</w:t>
      </w:r>
      <w:r w:rsidR="005F31A3" w:rsidRPr="00F65F47">
        <w:rPr>
          <w:rFonts w:ascii="Times New Roman" w:hAnsi="Times New Roman"/>
          <w:b/>
        </w:rPr>
        <w:t xml:space="preserve"> поддержки АПК</w:t>
      </w:r>
    </w:p>
    <w:p w14:paraId="4844CAAA" w14:textId="77777777" w:rsidR="005F31A3" w:rsidRPr="00F65F47" w:rsidRDefault="005F31A3" w:rsidP="005F31A3">
      <w:pPr>
        <w:jc w:val="center"/>
        <w:rPr>
          <w:rFonts w:ascii="Times New Roman" w:hAnsi="Times New Roman"/>
          <w:b/>
        </w:rPr>
      </w:pPr>
    </w:p>
    <w:p w14:paraId="7B5A2CD5" w14:textId="29462ECF" w:rsidR="00F65F47" w:rsidRDefault="00F65F47" w:rsidP="008B09EC">
      <w:pPr>
        <w:spacing w:line="276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О новых мерах поддержки агропромышленного комплекса рассказал профессор Северо-Кавказского института – филиала РАНХиГС Фарман Кулиев.</w:t>
      </w:r>
    </w:p>
    <w:p w14:paraId="121FC9FB" w14:textId="0681B9CF" w:rsidR="007D7CCA" w:rsidRPr="00F65F47" w:rsidRDefault="005F31A3" w:rsidP="008B09EC">
      <w:pPr>
        <w:spacing w:line="276" w:lineRule="auto"/>
        <w:ind w:firstLine="567"/>
        <w:rPr>
          <w:rFonts w:ascii="Times New Roman" w:hAnsi="Times New Roman"/>
        </w:rPr>
      </w:pPr>
      <w:r w:rsidRPr="00F65F47">
        <w:rPr>
          <w:rFonts w:ascii="Times New Roman" w:hAnsi="Times New Roman"/>
        </w:rPr>
        <w:t xml:space="preserve">Не секрет, что в последнее время АПК представляет из себя </w:t>
      </w:r>
      <w:proofErr w:type="gramStart"/>
      <w:r w:rsidRPr="00F65F47">
        <w:rPr>
          <w:rFonts w:ascii="Times New Roman" w:hAnsi="Times New Roman"/>
        </w:rPr>
        <w:t>динамично развивающуюся</w:t>
      </w:r>
      <w:proofErr w:type="gramEnd"/>
      <w:r w:rsidRPr="00F65F47">
        <w:rPr>
          <w:rFonts w:ascii="Times New Roman" w:hAnsi="Times New Roman"/>
        </w:rPr>
        <w:t xml:space="preserve"> отрасль, служит примером эффективности </w:t>
      </w:r>
      <w:r w:rsidR="00F65F47" w:rsidRPr="00F65F47">
        <w:rPr>
          <w:rFonts w:ascii="Times New Roman" w:hAnsi="Times New Roman"/>
        </w:rPr>
        <w:t>государственной политики</w:t>
      </w:r>
      <w:r w:rsidRPr="00F65F47">
        <w:rPr>
          <w:rFonts w:ascii="Times New Roman" w:hAnsi="Times New Roman"/>
        </w:rPr>
        <w:t xml:space="preserve"> в сфере развития продовольственной безопасности и конкурентоспособности российской агропродукции на мировых рынках. Показательно, что АПК довольно продолжительное время выступает в качестве одного из основных драйверов развития экономики России, а также является одним из инструментов проявления мягкой силы за рубежом, посредством экспансии на мировые продовольственные рынки, за счёт достойного качества и конкурентоспособности продукции российского АПК.</w:t>
      </w:r>
    </w:p>
    <w:p w14:paraId="68945D13" w14:textId="77777777" w:rsidR="007D7CCA" w:rsidRPr="00F65F47" w:rsidRDefault="005F31A3" w:rsidP="008B09EC">
      <w:pPr>
        <w:spacing w:line="276" w:lineRule="auto"/>
        <w:ind w:firstLine="567"/>
        <w:rPr>
          <w:rFonts w:ascii="Times New Roman" w:hAnsi="Times New Roman"/>
        </w:rPr>
      </w:pPr>
      <w:r w:rsidRPr="00F65F47">
        <w:rPr>
          <w:rFonts w:ascii="Times New Roman" w:hAnsi="Times New Roman"/>
        </w:rPr>
        <w:t xml:space="preserve"> За последние десятилетия сельскохозяйственный сектор смог возродиться из того плачевного состояния, в котором он пребывал на начало 21 века. Так, по итогам 2022 года экспорт продовольствия оказался рекордным (40 млрд долларов), Россия осталась мировым лидером по поставкам пшеницы и нетто-экспортером продовольствия.</w:t>
      </w:r>
    </w:p>
    <w:p w14:paraId="1EC39944" w14:textId="49F0A77E" w:rsidR="008B09EC" w:rsidRPr="00F65F47" w:rsidRDefault="005F31A3" w:rsidP="008B09EC">
      <w:pPr>
        <w:spacing w:line="276" w:lineRule="auto"/>
        <w:ind w:firstLine="567"/>
        <w:rPr>
          <w:rFonts w:ascii="Times New Roman" w:hAnsi="Times New Roman"/>
        </w:rPr>
      </w:pPr>
      <w:r w:rsidRPr="00F65F47">
        <w:rPr>
          <w:rFonts w:ascii="Times New Roman" w:hAnsi="Times New Roman"/>
        </w:rPr>
        <w:t xml:space="preserve">По итогам 2022 года, в своём выступлении в Государственной Думе председатель правления Россельхозбанка Борис Листов отметил, что работа банка неразрывно связана с реализацией государственной политики в сфере развития АПК и малого бизнеса на селе, повышением привлекательности сельских территорий для жизни и работы. “За 22 года в развитие отрасли было инвестировано более 13 трлн рублей. В этот непростой для всех нас год удалось увеличить меры финансовой поддержки АПК на 6,5% по сравнению с 2021 годом, что составляет более 2 трлн рублей, – отметил Борис Листов. Достигнув пороговых значений показателей Доктрины продовольственной безопасности по зерну, сахару, растительному маслу, мясу, рыбе, страна остается </w:t>
      </w:r>
      <w:proofErr w:type="spellStart"/>
      <w:r w:rsidRPr="00F65F47">
        <w:rPr>
          <w:rFonts w:ascii="Times New Roman" w:hAnsi="Times New Roman"/>
        </w:rPr>
        <w:t>импортозависимой</w:t>
      </w:r>
      <w:proofErr w:type="spellEnd"/>
      <w:r w:rsidRPr="00F65F47">
        <w:rPr>
          <w:rFonts w:ascii="Times New Roman" w:hAnsi="Times New Roman"/>
        </w:rPr>
        <w:t xml:space="preserve"> по ряду направлений, которые напрямую влияют на насыщение внутреннего рынка. Есть проблемы с отечественными семенами основных сельхозкультур, племенным поголовьем птиц и животных, с некоторыми видами сельхозтехники, а также связанные с кормовой базой и ветеринарными препаратами. В 2023 году предварительная оценка господдержк</w:t>
      </w:r>
      <w:r w:rsidR="00F65F47">
        <w:rPr>
          <w:rFonts w:ascii="Times New Roman" w:hAnsi="Times New Roman"/>
        </w:rPr>
        <w:t xml:space="preserve">и </w:t>
      </w:r>
      <w:r w:rsidRPr="00F65F47">
        <w:rPr>
          <w:rFonts w:ascii="Times New Roman" w:hAnsi="Times New Roman"/>
        </w:rPr>
        <w:t xml:space="preserve">АПК составит 445.8 млрд рублей. В зависимости от ситуации в стране и в мире, сумма </w:t>
      </w:r>
      <w:r w:rsidR="00F65F47" w:rsidRPr="00F65F47">
        <w:rPr>
          <w:rFonts w:ascii="Times New Roman" w:hAnsi="Times New Roman"/>
        </w:rPr>
        <w:t>господдержки</w:t>
      </w:r>
      <w:r w:rsidRPr="00F65F47">
        <w:rPr>
          <w:rFonts w:ascii="Times New Roman" w:hAnsi="Times New Roman"/>
        </w:rPr>
        <w:t xml:space="preserve"> может быть увеличена, как это не раз было ранее. </w:t>
      </w:r>
      <w:r w:rsidR="00F65F47" w:rsidRPr="00F65F47">
        <w:rPr>
          <w:rFonts w:ascii="Times New Roman" w:hAnsi="Times New Roman"/>
        </w:rPr>
        <w:t>Помимо этого,</w:t>
      </w:r>
      <w:r w:rsidRPr="00F65F47">
        <w:rPr>
          <w:rFonts w:ascii="Times New Roman" w:hAnsi="Times New Roman"/>
        </w:rPr>
        <w:t xml:space="preserve"> хочется отметить появление новых мер </w:t>
      </w:r>
      <w:r w:rsidR="00F65F47" w:rsidRPr="00F65F47">
        <w:rPr>
          <w:rFonts w:ascii="Times New Roman" w:hAnsi="Times New Roman"/>
        </w:rPr>
        <w:t>господдержки</w:t>
      </w:r>
      <w:r w:rsidRPr="00F65F47">
        <w:rPr>
          <w:rFonts w:ascii="Times New Roman" w:hAnsi="Times New Roman"/>
        </w:rPr>
        <w:t xml:space="preserve"> и повышения приоритета самой отрасли для правительства РФ и</w:t>
      </w:r>
      <w:r w:rsidR="00F65F47">
        <w:rPr>
          <w:rFonts w:ascii="Times New Roman" w:hAnsi="Times New Roman"/>
        </w:rPr>
        <w:t xml:space="preserve"> </w:t>
      </w:r>
      <w:r w:rsidRPr="00F65F47">
        <w:rPr>
          <w:rFonts w:ascii="Times New Roman" w:hAnsi="Times New Roman"/>
        </w:rPr>
        <w:t xml:space="preserve">повышения привлекательности для инвесторов. </w:t>
      </w:r>
    </w:p>
    <w:p w14:paraId="50DB86BD" w14:textId="77777777" w:rsidR="008B09EC" w:rsidRPr="00F65F47" w:rsidRDefault="008B09EC" w:rsidP="008B09EC">
      <w:pPr>
        <w:spacing w:line="276" w:lineRule="auto"/>
        <w:ind w:firstLine="567"/>
        <w:rPr>
          <w:rFonts w:ascii="Times New Roman" w:hAnsi="Times New Roman"/>
        </w:rPr>
      </w:pPr>
    </w:p>
    <w:p w14:paraId="10CCF3FA" w14:textId="15E06EA4" w:rsidR="007D7CCA" w:rsidRPr="00F65F47" w:rsidRDefault="008B09EC" w:rsidP="008B09EC">
      <w:pPr>
        <w:spacing w:line="276" w:lineRule="auto"/>
        <w:ind w:firstLine="567"/>
        <w:rPr>
          <w:rFonts w:ascii="Times New Roman" w:hAnsi="Times New Roman"/>
        </w:rPr>
      </w:pPr>
      <w:r w:rsidRPr="00F65F47">
        <w:rPr>
          <w:rFonts w:ascii="Times New Roman" w:hAnsi="Times New Roman"/>
        </w:rPr>
        <w:lastRenderedPageBreak/>
        <w:t>РФ</w:t>
      </w:r>
      <w:r w:rsidR="00F65F47">
        <w:rPr>
          <w:rFonts w:ascii="Times New Roman" w:hAnsi="Times New Roman"/>
        </w:rPr>
        <w:t xml:space="preserve"> -</w:t>
      </w:r>
      <w:r w:rsidRPr="00F65F47">
        <w:rPr>
          <w:rFonts w:ascii="Times New Roman" w:hAnsi="Times New Roman"/>
        </w:rPr>
        <w:t xml:space="preserve"> аграрно-индустриальное общество. Все условия для развития АПК имеются.</w:t>
      </w:r>
    </w:p>
    <w:p w14:paraId="21B88634" w14:textId="5E0140F3" w:rsidR="007D7CCA" w:rsidRPr="00F65F47" w:rsidRDefault="005F31A3" w:rsidP="008B09EC">
      <w:pPr>
        <w:spacing w:line="276" w:lineRule="auto"/>
        <w:ind w:firstLine="567"/>
        <w:rPr>
          <w:rFonts w:ascii="Times New Roman" w:hAnsi="Times New Roman"/>
        </w:rPr>
      </w:pPr>
      <w:r w:rsidRPr="00F65F47">
        <w:rPr>
          <w:rFonts w:ascii="Times New Roman" w:hAnsi="Times New Roman"/>
        </w:rPr>
        <w:t>АПК на данный момент входит в эпоху "возрождения" и имеет все шансы стать надолго стать новым "локомотивом" российской экономики. Но для этого предстоит проделать колоссальную работу, как минимум это:</w:t>
      </w:r>
    </w:p>
    <w:p w14:paraId="3F013E33" w14:textId="77777777" w:rsidR="007D7CCA" w:rsidRPr="00F65F47" w:rsidRDefault="005F31A3" w:rsidP="008B09EC">
      <w:pPr>
        <w:spacing w:line="276" w:lineRule="auto"/>
        <w:ind w:firstLine="567"/>
        <w:rPr>
          <w:rFonts w:ascii="Times New Roman" w:hAnsi="Times New Roman"/>
        </w:rPr>
      </w:pPr>
      <w:r w:rsidRPr="00F65F47">
        <w:rPr>
          <w:rFonts w:ascii="Times New Roman" w:hAnsi="Times New Roman"/>
        </w:rPr>
        <w:t>1) пролонгация действующих</w:t>
      </w:r>
      <w:r w:rsidR="008B09EC" w:rsidRPr="00F65F47">
        <w:rPr>
          <w:rFonts w:ascii="Times New Roman" w:hAnsi="Times New Roman"/>
        </w:rPr>
        <w:t xml:space="preserve"> </w:t>
      </w:r>
      <w:r w:rsidRPr="00F65F47">
        <w:rPr>
          <w:rFonts w:ascii="Times New Roman" w:hAnsi="Times New Roman"/>
        </w:rPr>
        <w:t>(актуальных и эффективных)</w:t>
      </w:r>
      <w:r w:rsidR="008B09EC" w:rsidRPr="00F65F47">
        <w:rPr>
          <w:rFonts w:ascii="Times New Roman" w:hAnsi="Times New Roman"/>
        </w:rPr>
        <w:t xml:space="preserve"> </w:t>
      </w:r>
      <w:r w:rsidRPr="00F65F47">
        <w:rPr>
          <w:rFonts w:ascii="Times New Roman" w:hAnsi="Times New Roman"/>
        </w:rPr>
        <w:t>и введение новых мер поддержки на длительный срок</w:t>
      </w:r>
    </w:p>
    <w:p w14:paraId="2DBC050B" w14:textId="77777777" w:rsidR="007D7CCA" w:rsidRPr="00F65F47" w:rsidRDefault="005F31A3" w:rsidP="008B09EC">
      <w:pPr>
        <w:spacing w:line="276" w:lineRule="auto"/>
        <w:ind w:firstLine="567"/>
        <w:rPr>
          <w:rFonts w:ascii="Times New Roman" w:hAnsi="Times New Roman"/>
        </w:rPr>
      </w:pPr>
      <w:r w:rsidRPr="00F65F47">
        <w:rPr>
          <w:rFonts w:ascii="Times New Roman" w:hAnsi="Times New Roman"/>
        </w:rPr>
        <w:t>2) дёшевые, длинные деньги для инвесторов</w:t>
      </w:r>
    </w:p>
    <w:p w14:paraId="211A3AA9" w14:textId="77777777" w:rsidR="007D7CCA" w:rsidRPr="00F65F47" w:rsidRDefault="005F31A3" w:rsidP="008B09EC">
      <w:pPr>
        <w:spacing w:line="276" w:lineRule="auto"/>
        <w:ind w:firstLine="567"/>
        <w:rPr>
          <w:rFonts w:ascii="Times New Roman" w:hAnsi="Times New Roman"/>
        </w:rPr>
      </w:pPr>
      <w:r w:rsidRPr="00F65F47">
        <w:rPr>
          <w:rFonts w:ascii="Times New Roman" w:hAnsi="Times New Roman"/>
        </w:rPr>
        <w:t xml:space="preserve">3) увеличение механизации и модернизации всех цепочек в АПК, в том числе и  активное введение искусственного интеллекта и новых технологий, интенсификация производства. </w:t>
      </w:r>
    </w:p>
    <w:p w14:paraId="064919B3" w14:textId="77777777" w:rsidR="007D7CCA" w:rsidRPr="00F65F47" w:rsidRDefault="005F31A3" w:rsidP="008B09EC">
      <w:pPr>
        <w:spacing w:line="276" w:lineRule="auto"/>
        <w:ind w:firstLine="567"/>
        <w:rPr>
          <w:rFonts w:ascii="Times New Roman" w:hAnsi="Times New Roman"/>
        </w:rPr>
      </w:pPr>
      <w:r w:rsidRPr="00F65F47">
        <w:rPr>
          <w:rFonts w:ascii="Times New Roman" w:hAnsi="Times New Roman"/>
        </w:rPr>
        <w:t>4) Увеличение поддержки и защиты отечественного производителя</w:t>
      </w:r>
    </w:p>
    <w:p w14:paraId="3D6B9343" w14:textId="77777777" w:rsidR="007D7CCA" w:rsidRPr="00F65F47" w:rsidRDefault="005F31A3" w:rsidP="008B09EC">
      <w:pPr>
        <w:spacing w:line="276" w:lineRule="auto"/>
        <w:ind w:firstLine="567"/>
        <w:rPr>
          <w:rFonts w:ascii="Times New Roman" w:hAnsi="Times New Roman"/>
        </w:rPr>
      </w:pPr>
      <w:r w:rsidRPr="00F65F47">
        <w:rPr>
          <w:rFonts w:ascii="Times New Roman" w:hAnsi="Times New Roman"/>
        </w:rPr>
        <w:t xml:space="preserve">5) Увеличение финансирования данной отрасли. </w:t>
      </w:r>
    </w:p>
    <w:p w14:paraId="62FD43C2" w14:textId="77777777" w:rsidR="007D7CCA" w:rsidRPr="00F65F47" w:rsidRDefault="005F31A3" w:rsidP="008B09EC">
      <w:pPr>
        <w:spacing w:line="276" w:lineRule="auto"/>
        <w:ind w:firstLine="567"/>
        <w:rPr>
          <w:rFonts w:ascii="Times New Roman" w:hAnsi="Times New Roman"/>
        </w:rPr>
      </w:pPr>
      <w:r w:rsidRPr="00F65F47">
        <w:rPr>
          <w:rFonts w:ascii="Times New Roman" w:hAnsi="Times New Roman"/>
        </w:rPr>
        <w:t>6) повышение престижа работу в АПК повышения и квалификации кадров и создание новых, актуальных и выявлен</w:t>
      </w:r>
      <w:r w:rsidR="008B09EC" w:rsidRPr="00F65F47">
        <w:rPr>
          <w:rFonts w:ascii="Times New Roman" w:hAnsi="Times New Roman"/>
        </w:rPr>
        <w:t>ие перспективных специальностей</w:t>
      </w:r>
      <w:r w:rsidRPr="00F65F47">
        <w:rPr>
          <w:rFonts w:ascii="Times New Roman" w:hAnsi="Times New Roman"/>
        </w:rPr>
        <w:t xml:space="preserve">. </w:t>
      </w:r>
    </w:p>
    <w:p w14:paraId="291D6230" w14:textId="77777777" w:rsidR="007D7CCA" w:rsidRDefault="007D7CCA"/>
    <w:sectPr w:rsidR="007D7CCA" w:rsidSect="007D7CCA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XO Thame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CCA"/>
    <w:rsid w:val="00567CB0"/>
    <w:rsid w:val="005F31A3"/>
    <w:rsid w:val="00710FE1"/>
    <w:rsid w:val="007D7CCA"/>
    <w:rsid w:val="008B09EC"/>
    <w:rsid w:val="00F6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29F6E"/>
  <w15:docId w15:val="{02DF7865-5E08-4668-9E6B-620EE702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7D7CCA"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rsid w:val="007D7CCA"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7D7CCA"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rsid w:val="007D7CCA"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rsid w:val="007D7CCA"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rsid w:val="007D7CCA"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D7CCA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rsid w:val="007D7CCA"/>
    <w:pPr>
      <w:ind w:left="200"/>
    </w:pPr>
    <w:rPr>
      <w:sz w:val="28"/>
    </w:rPr>
  </w:style>
  <w:style w:type="character" w:customStyle="1" w:styleId="22">
    <w:name w:val="Оглавление 2 Знак"/>
    <w:link w:val="21"/>
    <w:rsid w:val="007D7CCA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7D7CCA"/>
    <w:pPr>
      <w:ind w:left="600"/>
    </w:pPr>
    <w:rPr>
      <w:sz w:val="28"/>
    </w:rPr>
  </w:style>
  <w:style w:type="character" w:customStyle="1" w:styleId="42">
    <w:name w:val="Оглавление 4 Знак"/>
    <w:link w:val="41"/>
    <w:rsid w:val="007D7CCA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7D7CCA"/>
    <w:pPr>
      <w:ind w:left="1000"/>
    </w:pPr>
    <w:rPr>
      <w:sz w:val="28"/>
    </w:rPr>
  </w:style>
  <w:style w:type="character" w:customStyle="1" w:styleId="60">
    <w:name w:val="Оглавление 6 Знак"/>
    <w:link w:val="6"/>
    <w:rsid w:val="007D7CCA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7D7CCA"/>
    <w:pPr>
      <w:ind w:left="1200"/>
    </w:pPr>
    <w:rPr>
      <w:sz w:val="28"/>
    </w:rPr>
  </w:style>
  <w:style w:type="character" w:customStyle="1" w:styleId="70">
    <w:name w:val="Оглавление 7 Знак"/>
    <w:link w:val="7"/>
    <w:rsid w:val="007D7CCA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7D7CCA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7D7CCA"/>
    <w:pPr>
      <w:ind w:left="400"/>
    </w:pPr>
    <w:rPr>
      <w:sz w:val="28"/>
    </w:rPr>
  </w:style>
  <w:style w:type="character" w:customStyle="1" w:styleId="32">
    <w:name w:val="Оглавление 3 Знак"/>
    <w:link w:val="31"/>
    <w:rsid w:val="007D7CCA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7D7CCA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7D7CCA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7D7CCA"/>
    <w:rPr>
      <w:color w:val="0000FF"/>
      <w:u w:val="single"/>
    </w:rPr>
  </w:style>
  <w:style w:type="character" w:styleId="a3">
    <w:name w:val="Hyperlink"/>
    <w:link w:val="12"/>
    <w:rsid w:val="007D7CCA"/>
    <w:rPr>
      <w:color w:val="0000FF"/>
      <w:u w:val="single"/>
    </w:rPr>
  </w:style>
  <w:style w:type="paragraph" w:customStyle="1" w:styleId="Footnote">
    <w:name w:val="Footnote"/>
    <w:link w:val="Footnote0"/>
    <w:rsid w:val="007D7CCA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sid w:val="007D7CCA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7D7CCA"/>
    <w:rPr>
      <w:b/>
      <w:sz w:val="28"/>
    </w:rPr>
  </w:style>
  <w:style w:type="character" w:customStyle="1" w:styleId="14">
    <w:name w:val="Оглавление 1 Знак"/>
    <w:link w:val="13"/>
    <w:rsid w:val="007D7CC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7D7CCA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sid w:val="007D7CC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7D7CCA"/>
    <w:pPr>
      <w:ind w:left="1600"/>
    </w:pPr>
    <w:rPr>
      <w:sz w:val="28"/>
    </w:rPr>
  </w:style>
  <w:style w:type="character" w:customStyle="1" w:styleId="90">
    <w:name w:val="Оглавление 9 Знак"/>
    <w:link w:val="9"/>
    <w:rsid w:val="007D7CCA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7D7CCA"/>
    <w:pPr>
      <w:ind w:left="1400"/>
    </w:pPr>
    <w:rPr>
      <w:sz w:val="28"/>
    </w:rPr>
  </w:style>
  <w:style w:type="character" w:customStyle="1" w:styleId="80">
    <w:name w:val="Оглавление 8 Знак"/>
    <w:link w:val="8"/>
    <w:rsid w:val="007D7CCA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7D7CCA"/>
    <w:pPr>
      <w:ind w:left="800"/>
    </w:pPr>
    <w:rPr>
      <w:sz w:val="28"/>
    </w:rPr>
  </w:style>
  <w:style w:type="character" w:customStyle="1" w:styleId="52">
    <w:name w:val="Оглавление 5 Знак"/>
    <w:link w:val="51"/>
    <w:rsid w:val="007D7CCA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7D7CCA"/>
    <w:pPr>
      <w:jc w:val="both"/>
    </w:pPr>
    <w:rPr>
      <w:i/>
    </w:rPr>
  </w:style>
  <w:style w:type="character" w:customStyle="1" w:styleId="a5">
    <w:name w:val="Подзаголовок Знак"/>
    <w:link w:val="a4"/>
    <w:rsid w:val="007D7CCA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7D7CCA"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Заголовок Знак"/>
    <w:link w:val="a6"/>
    <w:rsid w:val="007D7CC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7D7CCA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7D7CCA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Идрисова Мадина Мусаевна</dc:creator>
  <cp:lastModifiedBy>Идрисова Мадина Мусаевна</cp:lastModifiedBy>
  <cp:revision>2</cp:revision>
  <dcterms:created xsi:type="dcterms:W3CDTF">2023-04-07T12:30:00Z</dcterms:created>
  <dcterms:modified xsi:type="dcterms:W3CDTF">2023-04-07T12:30:00Z</dcterms:modified>
</cp:coreProperties>
</file>