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58" w:rsidRPr="003B58CB" w:rsidRDefault="00E22E58" w:rsidP="00E22E5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B58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КОНТРОЛЬНО-СЧЕТНЫЙ ОРГАН  </w:t>
      </w:r>
    </w:p>
    <w:p w:rsidR="00E22E58" w:rsidRPr="00955E8F" w:rsidRDefault="00E22E58" w:rsidP="00E2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E8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Степновского муниципального округа Ставропольского края</w:t>
      </w:r>
    </w:p>
    <w:p w:rsidR="00E22E58" w:rsidRDefault="00E22E58" w:rsidP="0012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4E11" w:rsidRPr="00842056" w:rsidRDefault="00464E11" w:rsidP="0012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64E11" w:rsidRPr="00842056" w:rsidRDefault="00464E11" w:rsidP="007C1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11B2" w:rsidRPr="00842056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proofErr w:type="gramStart"/>
      <w:r w:rsidR="007C11B2" w:rsidRPr="0084205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842056">
        <w:rPr>
          <w:rFonts w:ascii="Times New Roman" w:hAnsi="Times New Roman" w:cs="Times New Roman"/>
          <w:b/>
          <w:sz w:val="28"/>
          <w:szCs w:val="28"/>
        </w:rPr>
        <w:t xml:space="preserve">  внешней</w:t>
      </w:r>
      <w:proofErr w:type="gramEnd"/>
      <w:r w:rsidRPr="00842056">
        <w:rPr>
          <w:rFonts w:ascii="Times New Roman" w:hAnsi="Times New Roman" w:cs="Times New Roman"/>
          <w:b/>
          <w:sz w:val="28"/>
          <w:szCs w:val="28"/>
        </w:rPr>
        <w:t xml:space="preserve">  проверки </w:t>
      </w:r>
      <w:r w:rsidR="00BE308B" w:rsidRPr="00842056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7C11B2" w:rsidRPr="00842056">
        <w:rPr>
          <w:rFonts w:ascii="Times New Roman" w:hAnsi="Times New Roman" w:cs="Times New Roman"/>
          <w:b/>
          <w:sz w:val="28"/>
          <w:szCs w:val="28"/>
        </w:rPr>
        <w:t>бюджетной отчетности</w:t>
      </w:r>
      <w:r w:rsidR="00591692">
        <w:rPr>
          <w:rFonts w:ascii="Times New Roman" w:hAnsi="Times New Roman" w:cs="Times New Roman"/>
          <w:b/>
          <w:sz w:val="28"/>
          <w:szCs w:val="28"/>
        </w:rPr>
        <w:t xml:space="preserve"> главного администратора бюджетных средств Управление</w:t>
      </w:r>
      <w:r w:rsidR="00D54C3F">
        <w:rPr>
          <w:rFonts w:ascii="Times New Roman" w:hAnsi="Times New Roman" w:cs="Times New Roman"/>
          <w:b/>
          <w:sz w:val="28"/>
          <w:szCs w:val="28"/>
        </w:rPr>
        <w:t xml:space="preserve"> труда и социальной защиты населения</w:t>
      </w:r>
      <w:r w:rsidR="007C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68" w:rsidRPr="0084205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916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1692">
        <w:rPr>
          <w:rFonts w:ascii="Times New Roman" w:hAnsi="Times New Roman" w:cs="Times New Roman"/>
          <w:b/>
          <w:sz w:val="28"/>
          <w:szCs w:val="28"/>
        </w:rPr>
        <w:t>Степн</w:t>
      </w:r>
      <w:r w:rsidRPr="00842056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="007C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92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E97824" w:rsidRPr="00842056">
        <w:rPr>
          <w:rFonts w:ascii="Times New Roman" w:hAnsi="Times New Roman" w:cs="Times New Roman"/>
          <w:b/>
          <w:sz w:val="28"/>
          <w:szCs w:val="28"/>
        </w:rPr>
        <w:t>а</w:t>
      </w:r>
      <w:r w:rsidR="0059169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за 2020</w:t>
      </w:r>
      <w:r w:rsidRPr="008420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D2E68" w:rsidRPr="00842056">
        <w:rPr>
          <w:rFonts w:ascii="Times New Roman" w:hAnsi="Times New Roman" w:cs="Times New Roman"/>
          <w:b/>
          <w:sz w:val="28"/>
          <w:szCs w:val="28"/>
        </w:rPr>
        <w:t>.</w:t>
      </w:r>
    </w:p>
    <w:p w:rsidR="009C1B6C" w:rsidRPr="00842056" w:rsidRDefault="009C1B6C" w:rsidP="007F01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4E11" w:rsidRPr="005062F5" w:rsidRDefault="00121342" w:rsidP="007F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1692">
        <w:rPr>
          <w:rFonts w:ascii="Times New Roman" w:hAnsi="Times New Roman" w:cs="Times New Roman"/>
          <w:sz w:val="28"/>
          <w:szCs w:val="28"/>
        </w:rPr>
        <w:t xml:space="preserve">. Степное                                                                        </w:t>
      </w:r>
      <w:r w:rsidR="00464E11" w:rsidRPr="005062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64E11" w:rsidRPr="005062F5">
        <w:rPr>
          <w:rFonts w:ascii="Times New Roman" w:hAnsi="Times New Roman" w:cs="Times New Roman"/>
          <w:sz w:val="28"/>
          <w:szCs w:val="28"/>
        </w:rPr>
        <w:t xml:space="preserve">» </w:t>
      </w:r>
      <w:r w:rsidR="005062F5" w:rsidRPr="005062F5">
        <w:rPr>
          <w:rFonts w:ascii="Times New Roman" w:hAnsi="Times New Roman" w:cs="Times New Roman"/>
          <w:sz w:val="28"/>
          <w:szCs w:val="28"/>
        </w:rPr>
        <w:t>марта</w:t>
      </w:r>
      <w:r w:rsidR="00464E11" w:rsidRPr="005062F5">
        <w:rPr>
          <w:rFonts w:ascii="Times New Roman" w:hAnsi="Times New Roman" w:cs="Times New Roman"/>
          <w:sz w:val="28"/>
          <w:szCs w:val="28"/>
        </w:rPr>
        <w:t xml:space="preserve">  20</w:t>
      </w:r>
      <w:r w:rsidR="00591692">
        <w:rPr>
          <w:rFonts w:ascii="Times New Roman" w:hAnsi="Times New Roman" w:cs="Times New Roman"/>
          <w:sz w:val="28"/>
          <w:szCs w:val="28"/>
        </w:rPr>
        <w:t>21</w:t>
      </w:r>
      <w:r w:rsidR="00464E11" w:rsidRPr="005062F5">
        <w:rPr>
          <w:rFonts w:ascii="Times New Roman" w:hAnsi="Times New Roman" w:cs="Times New Roman"/>
          <w:sz w:val="28"/>
          <w:szCs w:val="28"/>
        </w:rPr>
        <w:t xml:space="preserve"> </w:t>
      </w:r>
      <w:r w:rsidR="00591692">
        <w:rPr>
          <w:rFonts w:ascii="Times New Roman" w:hAnsi="Times New Roman" w:cs="Times New Roman"/>
          <w:sz w:val="28"/>
          <w:szCs w:val="28"/>
        </w:rPr>
        <w:t>года</w:t>
      </w:r>
    </w:p>
    <w:p w:rsidR="00FF132F" w:rsidRPr="00842056" w:rsidRDefault="00FF132F" w:rsidP="007F0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32F" w:rsidRPr="00457CED" w:rsidRDefault="00FF132F" w:rsidP="00FF13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E4073A" w:rsidRPr="00842056" w:rsidRDefault="00E4073A" w:rsidP="00FF13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A9F" w:rsidRDefault="000E6450" w:rsidP="007C51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997DE7">
        <w:rPr>
          <w:color w:val="000000" w:themeColor="text1"/>
          <w:sz w:val="28"/>
          <w:szCs w:val="28"/>
        </w:rPr>
        <w:t>аключение по результатам внешней проверки годовой бюджетной отчетности, подготовлено в соответствии с требованиями статьи 264.4 Бюджетного кодекса Российской Федерации</w:t>
      </w:r>
      <w:r>
        <w:rPr>
          <w:color w:val="000000" w:themeColor="text1"/>
          <w:sz w:val="28"/>
          <w:szCs w:val="28"/>
        </w:rPr>
        <w:t xml:space="preserve"> (далее – БК РФ)</w:t>
      </w:r>
      <w:r w:rsidR="00997DE7">
        <w:rPr>
          <w:color w:val="000000" w:themeColor="text1"/>
          <w:sz w:val="28"/>
          <w:szCs w:val="28"/>
        </w:rPr>
        <w:t>, на основании</w:t>
      </w:r>
      <w:r>
        <w:rPr>
          <w:bCs/>
          <w:color w:val="000000" w:themeColor="text1"/>
          <w:sz w:val="28"/>
          <w:szCs w:val="28"/>
        </w:rPr>
        <w:t xml:space="preserve">  статьи 8 Положения о Контрольно-счетном органе </w:t>
      </w:r>
      <w:proofErr w:type="spellStart"/>
      <w:r>
        <w:rPr>
          <w:bCs/>
          <w:color w:val="000000" w:themeColor="text1"/>
          <w:sz w:val="28"/>
          <w:szCs w:val="28"/>
        </w:rPr>
        <w:t>Степновского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 муниципальн</w:t>
      </w:r>
      <w:r w:rsidR="00997DE7">
        <w:rPr>
          <w:bCs/>
          <w:color w:val="000000" w:themeColor="text1"/>
          <w:sz w:val="28"/>
          <w:szCs w:val="28"/>
        </w:rPr>
        <w:t>ого округа Ставропольского к</w:t>
      </w:r>
      <w:r>
        <w:rPr>
          <w:bCs/>
          <w:color w:val="000000" w:themeColor="text1"/>
          <w:sz w:val="28"/>
          <w:szCs w:val="28"/>
        </w:rPr>
        <w:t xml:space="preserve">рая, утвержденного решением Совета депутатов </w:t>
      </w:r>
      <w:proofErr w:type="spellStart"/>
      <w:r>
        <w:rPr>
          <w:bCs/>
          <w:color w:val="000000" w:themeColor="text1"/>
          <w:sz w:val="28"/>
          <w:szCs w:val="28"/>
        </w:rPr>
        <w:t>Степновского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</w:t>
      </w:r>
      <w:r w:rsidR="00997DE7">
        <w:rPr>
          <w:bCs/>
          <w:color w:val="000000" w:themeColor="text1"/>
          <w:sz w:val="28"/>
          <w:szCs w:val="28"/>
        </w:rPr>
        <w:t>ого округа Ставропольского края</w:t>
      </w:r>
      <w:r>
        <w:rPr>
          <w:bCs/>
          <w:color w:val="000000" w:themeColor="text1"/>
          <w:sz w:val="28"/>
          <w:szCs w:val="28"/>
        </w:rPr>
        <w:t xml:space="preserve"> первого созыва  от 01 октября 2020 года № 1/13-</w:t>
      </w:r>
      <w:r>
        <w:rPr>
          <w:bCs/>
          <w:color w:val="000000" w:themeColor="text1"/>
          <w:sz w:val="28"/>
          <w:szCs w:val="28"/>
          <w:lang w:val="en-US"/>
        </w:rPr>
        <w:t>I</w:t>
      </w:r>
      <w:r>
        <w:rPr>
          <w:bCs/>
          <w:color w:val="000000" w:themeColor="text1"/>
          <w:sz w:val="28"/>
          <w:szCs w:val="28"/>
        </w:rPr>
        <w:t xml:space="preserve">, пункта </w:t>
      </w:r>
      <w:r w:rsidR="0045539F" w:rsidRPr="0045539F">
        <w:rPr>
          <w:bCs/>
          <w:color w:val="000000" w:themeColor="text1"/>
          <w:sz w:val="28"/>
          <w:szCs w:val="28"/>
        </w:rPr>
        <w:t>1.10</w:t>
      </w:r>
      <w:r>
        <w:rPr>
          <w:bCs/>
          <w:color w:val="000000" w:themeColor="text1"/>
          <w:sz w:val="28"/>
          <w:szCs w:val="28"/>
        </w:rPr>
        <w:t xml:space="preserve"> плана работы Контрольно-счетного органа </w:t>
      </w:r>
      <w:proofErr w:type="spellStart"/>
      <w:r>
        <w:rPr>
          <w:bCs/>
          <w:color w:val="000000" w:themeColor="text1"/>
          <w:sz w:val="28"/>
          <w:szCs w:val="28"/>
        </w:rPr>
        <w:t>Степновского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</w:t>
      </w:r>
      <w:r w:rsidR="00997DE7">
        <w:rPr>
          <w:bCs/>
          <w:color w:val="000000" w:themeColor="text1"/>
          <w:sz w:val="28"/>
          <w:szCs w:val="28"/>
        </w:rPr>
        <w:t>ого окр</w:t>
      </w:r>
      <w:r>
        <w:rPr>
          <w:bCs/>
          <w:color w:val="000000" w:themeColor="text1"/>
          <w:sz w:val="28"/>
          <w:szCs w:val="28"/>
        </w:rPr>
        <w:t>уга Ставропольского края на 2021</w:t>
      </w:r>
      <w:r w:rsidR="00997DE7">
        <w:rPr>
          <w:bCs/>
          <w:color w:val="000000" w:themeColor="text1"/>
          <w:sz w:val="28"/>
          <w:szCs w:val="28"/>
        </w:rPr>
        <w:t xml:space="preserve"> год и распоряжения </w:t>
      </w:r>
      <w:r>
        <w:rPr>
          <w:bCs/>
          <w:sz w:val="28"/>
          <w:szCs w:val="28"/>
        </w:rPr>
        <w:t>Контрольно-счетного органа</w:t>
      </w:r>
      <w:r w:rsidR="00846A9F" w:rsidRPr="00954EF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Степн</w:t>
      </w:r>
      <w:r w:rsidR="003411C0" w:rsidRPr="00954EF6">
        <w:rPr>
          <w:bCs/>
          <w:sz w:val="28"/>
          <w:szCs w:val="28"/>
        </w:rPr>
        <w:t>овского</w:t>
      </w:r>
      <w:proofErr w:type="spellEnd"/>
      <w:r>
        <w:rPr>
          <w:bCs/>
          <w:sz w:val="28"/>
          <w:szCs w:val="28"/>
        </w:rPr>
        <w:t xml:space="preserve"> муниципальн</w:t>
      </w:r>
      <w:r w:rsidR="00846A9F" w:rsidRPr="00954EF6">
        <w:rPr>
          <w:bCs/>
          <w:sz w:val="28"/>
          <w:szCs w:val="28"/>
        </w:rPr>
        <w:t xml:space="preserve">ого округа </w:t>
      </w:r>
      <w:r w:rsidR="003411C0" w:rsidRPr="00954EF6">
        <w:rPr>
          <w:bCs/>
          <w:sz w:val="28"/>
          <w:szCs w:val="28"/>
        </w:rPr>
        <w:t xml:space="preserve">Ставропольского края </w:t>
      </w:r>
      <w:r w:rsidR="00846A9F" w:rsidRPr="00954EF6">
        <w:rPr>
          <w:bCs/>
          <w:sz w:val="28"/>
          <w:szCs w:val="28"/>
        </w:rPr>
        <w:t xml:space="preserve">от </w:t>
      </w:r>
      <w:r w:rsidR="0045539F" w:rsidRPr="0045539F">
        <w:rPr>
          <w:bCs/>
          <w:color w:val="000000" w:themeColor="text1"/>
          <w:sz w:val="28"/>
          <w:szCs w:val="28"/>
        </w:rPr>
        <w:t xml:space="preserve">01 марта </w:t>
      </w:r>
      <w:r w:rsidR="00846A9F" w:rsidRPr="0045539F">
        <w:rPr>
          <w:bCs/>
          <w:color w:val="000000" w:themeColor="text1"/>
          <w:sz w:val="28"/>
          <w:szCs w:val="28"/>
        </w:rPr>
        <w:t>20</w:t>
      </w:r>
      <w:r w:rsidRPr="0045539F">
        <w:rPr>
          <w:bCs/>
          <w:color w:val="000000" w:themeColor="text1"/>
          <w:sz w:val="28"/>
          <w:szCs w:val="28"/>
        </w:rPr>
        <w:t>21</w:t>
      </w:r>
      <w:r w:rsidR="00846A9F" w:rsidRPr="0045539F">
        <w:rPr>
          <w:bCs/>
          <w:color w:val="000000" w:themeColor="text1"/>
          <w:sz w:val="28"/>
          <w:szCs w:val="28"/>
        </w:rPr>
        <w:t xml:space="preserve"> года №</w:t>
      </w:r>
      <w:r w:rsidRPr="0045539F">
        <w:rPr>
          <w:bCs/>
          <w:color w:val="000000" w:themeColor="text1"/>
          <w:sz w:val="28"/>
          <w:szCs w:val="28"/>
        </w:rPr>
        <w:t xml:space="preserve"> </w:t>
      </w:r>
      <w:r w:rsidR="0045539F" w:rsidRPr="0045539F">
        <w:rPr>
          <w:bCs/>
          <w:color w:val="000000" w:themeColor="text1"/>
          <w:sz w:val="28"/>
          <w:szCs w:val="28"/>
        </w:rPr>
        <w:t>6</w:t>
      </w:r>
      <w:r w:rsidR="00846A9F" w:rsidRPr="0045539F">
        <w:rPr>
          <w:bCs/>
          <w:color w:val="000000" w:themeColor="text1"/>
          <w:sz w:val="28"/>
          <w:szCs w:val="28"/>
        </w:rPr>
        <w:t xml:space="preserve">-р «О проведении </w:t>
      </w:r>
      <w:r w:rsidR="00117361" w:rsidRPr="0045539F">
        <w:rPr>
          <w:bCs/>
          <w:color w:val="000000" w:themeColor="text1"/>
          <w:sz w:val="28"/>
          <w:szCs w:val="28"/>
        </w:rPr>
        <w:t>экспертно-аналитического мероприятия</w:t>
      </w:r>
      <w:r w:rsidR="00591692" w:rsidRPr="0045539F">
        <w:rPr>
          <w:bCs/>
          <w:color w:val="000000" w:themeColor="text1"/>
          <w:sz w:val="28"/>
          <w:szCs w:val="28"/>
        </w:rPr>
        <w:t>».</w:t>
      </w:r>
    </w:p>
    <w:p w:rsidR="00997DE7" w:rsidRDefault="00997DE7" w:rsidP="00997DE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61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 подготовлено в  соответствии со стандартом внешнего муниципального</w:t>
      </w:r>
      <w:r w:rsidR="00FD40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финансового</w:t>
      </w:r>
      <w:r w:rsidRPr="006E61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614C">
        <w:rPr>
          <w:rFonts w:ascii="Times New Roman" w:hAnsi="Times New Roman" w:cs="Times New Roman"/>
          <w:b/>
          <w:sz w:val="28"/>
          <w:szCs w:val="28"/>
        </w:rPr>
        <w:t>«</w:t>
      </w:r>
      <w:r w:rsidR="00FD40F0">
        <w:rPr>
          <w:rFonts w:ascii="Times New Roman" w:hAnsi="Times New Roman" w:cs="Times New Roman"/>
          <w:sz w:val="28"/>
          <w:szCs w:val="28"/>
        </w:rPr>
        <w:t>Организация и проведение внешней проверки годового отчета об исполнении бюджета</w:t>
      </w:r>
      <w:r w:rsidRPr="006E614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, утвержденного </w:t>
      </w:r>
      <w:r w:rsidR="00FD40F0">
        <w:rPr>
          <w:rFonts w:ascii="Times New Roman" w:hAnsi="Times New Roman" w:cs="Times New Roman"/>
          <w:iCs/>
          <w:sz w:val="28"/>
          <w:szCs w:val="28"/>
        </w:rPr>
        <w:t xml:space="preserve">председателем Контрольно-счетного органа </w:t>
      </w:r>
      <w:proofErr w:type="spellStart"/>
      <w:r w:rsidR="00FD40F0">
        <w:rPr>
          <w:rFonts w:ascii="Times New Roman" w:hAnsi="Times New Roman" w:cs="Times New Roman"/>
          <w:iCs/>
          <w:sz w:val="28"/>
          <w:szCs w:val="28"/>
        </w:rPr>
        <w:t>Степновского</w:t>
      </w:r>
      <w:proofErr w:type="spellEnd"/>
      <w:r w:rsidR="00FD40F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40F0">
        <w:rPr>
          <w:rFonts w:ascii="Times New Roman" w:hAnsi="Times New Roman" w:cs="Times New Roman"/>
          <w:iCs/>
          <w:sz w:val="28"/>
          <w:szCs w:val="28"/>
        </w:rPr>
        <w:t>19 октября 2020 года.</w:t>
      </w:r>
      <w:r w:rsidR="00BA2B88">
        <w:rPr>
          <w:rFonts w:ascii="Times New Roman" w:hAnsi="Times New Roman" w:cs="Times New Roman"/>
          <w:iCs/>
          <w:sz w:val="28"/>
          <w:szCs w:val="28"/>
        </w:rPr>
        <w:t xml:space="preserve"> Ответственность за подготовку и предоставление бюджетной отчетности Управления труда администрации </w:t>
      </w:r>
      <w:proofErr w:type="spellStart"/>
      <w:r w:rsidR="00BA2B88">
        <w:rPr>
          <w:rFonts w:ascii="Times New Roman" w:hAnsi="Times New Roman" w:cs="Times New Roman"/>
          <w:iCs/>
          <w:sz w:val="28"/>
          <w:szCs w:val="28"/>
        </w:rPr>
        <w:t>Степновского</w:t>
      </w:r>
      <w:proofErr w:type="spellEnd"/>
      <w:r w:rsidR="00BA2B8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Ставропольского края (далее – Управление труда) несут должностные лица:</w:t>
      </w:r>
    </w:p>
    <w:p w:rsidR="00BA2B88" w:rsidRPr="006E614C" w:rsidRDefault="00BA2B88" w:rsidP="00997DE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ap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Шарлай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Т.И., Бойко Т.Н.</w:t>
      </w:r>
    </w:p>
    <w:p w:rsidR="00BA2B88" w:rsidRDefault="006F0140" w:rsidP="006F01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42056">
        <w:rPr>
          <w:bCs/>
          <w:color w:val="000000" w:themeColor="text1"/>
          <w:sz w:val="28"/>
          <w:szCs w:val="28"/>
        </w:rPr>
        <w:t xml:space="preserve">Внешняя проверка годовой бюджетной отчётности </w:t>
      </w:r>
      <w:r w:rsidR="00297824">
        <w:rPr>
          <w:bCs/>
          <w:color w:val="000000" w:themeColor="text1"/>
          <w:sz w:val="28"/>
          <w:szCs w:val="28"/>
        </w:rPr>
        <w:t xml:space="preserve">Управления труда </w:t>
      </w:r>
      <w:r w:rsidRPr="00842056">
        <w:rPr>
          <w:bCs/>
          <w:color w:val="000000" w:themeColor="text1"/>
          <w:sz w:val="28"/>
          <w:szCs w:val="28"/>
        </w:rPr>
        <w:t>проведена с целью:</w:t>
      </w:r>
      <w:r w:rsidR="00D30C5F">
        <w:rPr>
          <w:bCs/>
          <w:color w:val="000000" w:themeColor="text1"/>
          <w:sz w:val="28"/>
          <w:szCs w:val="28"/>
        </w:rPr>
        <w:t xml:space="preserve"> </w:t>
      </w:r>
    </w:p>
    <w:p w:rsidR="00BA2B88" w:rsidRPr="002C7363" w:rsidRDefault="00BA2B88" w:rsidP="006F01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2C7363">
        <w:rPr>
          <w:bCs/>
          <w:color w:val="000000" w:themeColor="text1"/>
          <w:sz w:val="28"/>
          <w:szCs w:val="28"/>
        </w:rPr>
        <w:t>установления</w:t>
      </w:r>
      <w:r w:rsidR="00765F81" w:rsidRPr="002C7363">
        <w:rPr>
          <w:bCs/>
          <w:color w:val="000000" w:themeColor="text1"/>
          <w:sz w:val="28"/>
          <w:szCs w:val="28"/>
        </w:rPr>
        <w:t xml:space="preserve"> </w:t>
      </w:r>
      <w:r w:rsidR="00D30C5F" w:rsidRPr="002C7363">
        <w:rPr>
          <w:bCs/>
          <w:color w:val="000000" w:themeColor="text1"/>
          <w:sz w:val="28"/>
          <w:szCs w:val="28"/>
        </w:rPr>
        <w:t>достоверности</w:t>
      </w:r>
      <w:r w:rsidRPr="002C7363">
        <w:rPr>
          <w:bCs/>
          <w:color w:val="000000" w:themeColor="text1"/>
          <w:sz w:val="28"/>
          <w:szCs w:val="28"/>
        </w:rPr>
        <w:t xml:space="preserve"> бюджетной отчетности главного администратора средств бюджета </w:t>
      </w:r>
      <w:proofErr w:type="spellStart"/>
      <w:r w:rsidRPr="002C7363">
        <w:rPr>
          <w:bCs/>
          <w:color w:val="000000" w:themeColor="text1"/>
          <w:sz w:val="28"/>
          <w:szCs w:val="28"/>
        </w:rPr>
        <w:t>Степновского</w:t>
      </w:r>
      <w:proofErr w:type="spellEnd"/>
      <w:r w:rsidRPr="002C7363">
        <w:rPr>
          <w:bCs/>
          <w:color w:val="000000" w:themeColor="text1"/>
          <w:sz w:val="28"/>
          <w:szCs w:val="28"/>
        </w:rPr>
        <w:t xml:space="preserve"> муниципального района Ставропольского края (далее – местный бюджет, ГАБС);</w:t>
      </w:r>
    </w:p>
    <w:p w:rsidR="00A97E0D" w:rsidRPr="002C7363" w:rsidRDefault="00A97E0D" w:rsidP="006F01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2C7363">
        <w:rPr>
          <w:bCs/>
          <w:color w:val="000000" w:themeColor="text1"/>
          <w:sz w:val="28"/>
          <w:szCs w:val="28"/>
        </w:rPr>
        <w:t>установления законности и результативности деятельности по исполнению местного бюджета</w:t>
      </w:r>
      <w:r w:rsidR="002C7363" w:rsidRPr="002C7363">
        <w:rPr>
          <w:bCs/>
          <w:color w:val="000000" w:themeColor="text1"/>
          <w:sz w:val="28"/>
          <w:szCs w:val="28"/>
        </w:rPr>
        <w:t xml:space="preserve"> в 2020 году.</w:t>
      </w:r>
    </w:p>
    <w:p w:rsidR="00211CD7" w:rsidRDefault="00211CD7" w:rsidP="006F01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70C0"/>
          <w:sz w:val="28"/>
          <w:szCs w:val="28"/>
        </w:rPr>
      </w:pPr>
      <w:r w:rsidRPr="006E0E64">
        <w:rPr>
          <w:color w:val="000000" w:themeColor="text1"/>
          <w:sz w:val="28"/>
          <w:szCs w:val="28"/>
        </w:rPr>
        <w:t xml:space="preserve">Управление труда  действует на основании Положения об управлении труда и социальной защиты населения администрации </w:t>
      </w:r>
      <w:proofErr w:type="spellStart"/>
      <w:r w:rsidRPr="006E0E64">
        <w:rPr>
          <w:color w:val="000000" w:themeColor="text1"/>
          <w:sz w:val="28"/>
          <w:szCs w:val="28"/>
        </w:rPr>
        <w:t>Степновского</w:t>
      </w:r>
      <w:proofErr w:type="spellEnd"/>
      <w:r w:rsidRPr="006E0E64">
        <w:rPr>
          <w:color w:val="000000" w:themeColor="text1"/>
          <w:sz w:val="28"/>
          <w:szCs w:val="28"/>
        </w:rPr>
        <w:t xml:space="preserve"> муниципального района Ставропольского края, утвержденного решением Совета </w:t>
      </w:r>
      <w:proofErr w:type="spellStart"/>
      <w:r w:rsidRPr="006E0E64">
        <w:rPr>
          <w:color w:val="000000" w:themeColor="text1"/>
          <w:sz w:val="28"/>
          <w:szCs w:val="28"/>
        </w:rPr>
        <w:t>Степновского</w:t>
      </w:r>
      <w:proofErr w:type="spellEnd"/>
      <w:r w:rsidRPr="006E0E64">
        <w:rPr>
          <w:color w:val="000000" w:themeColor="text1"/>
          <w:sz w:val="28"/>
          <w:szCs w:val="28"/>
        </w:rPr>
        <w:t xml:space="preserve"> муниципального района Ставропольского края от  23 апреля 2019 года № 10/37-</w:t>
      </w:r>
      <w:r w:rsidRPr="006E0E64"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>.</w:t>
      </w:r>
    </w:p>
    <w:p w:rsidR="00211CD7" w:rsidRDefault="00211CD7" w:rsidP="00211C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E0E64">
        <w:rPr>
          <w:color w:val="000000" w:themeColor="text1"/>
          <w:sz w:val="28"/>
          <w:szCs w:val="28"/>
        </w:rPr>
        <w:lastRenderedPageBreak/>
        <w:t xml:space="preserve">Управление труда  является отраслевым (функциональным) органом администрации </w:t>
      </w:r>
      <w:proofErr w:type="spellStart"/>
      <w:r w:rsidRPr="006E0E64">
        <w:rPr>
          <w:color w:val="000000" w:themeColor="text1"/>
          <w:sz w:val="28"/>
          <w:szCs w:val="28"/>
        </w:rPr>
        <w:t>Степновского</w:t>
      </w:r>
      <w:proofErr w:type="spellEnd"/>
      <w:r w:rsidRPr="006E0E64">
        <w:rPr>
          <w:color w:val="000000" w:themeColor="text1"/>
          <w:sz w:val="28"/>
          <w:szCs w:val="28"/>
        </w:rPr>
        <w:t xml:space="preserve"> муниципального района Ставропольского края, осуществляет реализацию, переданных органам местного самоуправления </w:t>
      </w:r>
      <w:proofErr w:type="spellStart"/>
      <w:r w:rsidRPr="006E0E64">
        <w:rPr>
          <w:color w:val="000000" w:themeColor="text1"/>
          <w:sz w:val="28"/>
          <w:szCs w:val="28"/>
        </w:rPr>
        <w:t>Степновского</w:t>
      </w:r>
      <w:proofErr w:type="spellEnd"/>
      <w:r w:rsidRPr="006E0E64">
        <w:rPr>
          <w:color w:val="000000" w:themeColor="text1"/>
          <w:sz w:val="28"/>
          <w:szCs w:val="28"/>
        </w:rPr>
        <w:t xml:space="preserve"> муниципального района Ставропольского края в установленном порядке, отдельных государственных полномочий Российской Федерации, переданных для осуществления органами государственной власти </w:t>
      </w:r>
      <w:r>
        <w:rPr>
          <w:color w:val="000000" w:themeColor="text1"/>
          <w:sz w:val="28"/>
          <w:szCs w:val="28"/>
        </w:rPr>
        <w:t>субъектов Российской Федерации</w:t>
      </w:r>
      <w:r w:rsidRPr="006E0E64">
        <w:rPr>
          <w:color w:val="000000" w:themeColor="text1"/>
          <w:sz w:val="28"/>
          <w:szCs w:val="28"/>
        </w:rPr>
        <w:t>, и отдельных государственных полномочий Ставропольского края в области труда и социальной защиты отдельных категорий граждан.</w:t>
      </w:r>
    </w:p>
    <w:p w:rsidR="00F33869" w:rsidRDefault="00F33869" w:rsidP="00F3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Годовая бюджетная отчетность представлена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Управлением труда </w:t>
      </w:r>
      <w:r w:rsidR="0010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срок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10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1 статьи 30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бюджетном процессе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округе Ставропольского края, утвержденного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 Ставропольского края от 06 октября 2020 года № 2/22-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 о бюджетном процессе).</w:t>
      </w:r>
    </w:p>
    <w:p w:rsidR="00F33869" w:rsidRPr="00A93871" w:rsidRDefault="00F33869" w:rsidP="00F3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Состав бюджетной отчетности соответствует требованиям,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установленным 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статьи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264.1 БК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пункту 11.1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56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г. № 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91н (далее – Инструкция № 191н).</w:t>
      </w:r>
    </w:p>
    <w:p w:rsidR="00F33869" w:rsidRPr="00842056" w:rsidRDefault="00F33869" w:rsidP="00211C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11CD7" w:rsidRPr="00A12633" w:rsidRDefault="00686D5F" w:rsidP="00A12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12633">
        <w:rPr>
          <w:b/>
          <w:bCs/>
          <w:color w:val="000000" w:themeColor="text1"/>
          <w:sz w:val="28"/>
          <w:szCs w:val="28"/>
        </w:rPr>
        <w:t>2.</w:t>
      </w:r>
      <w:r w:rsidR="00A12633" w:rsidRPr="00A12633">
        <w:rPr>
          <w:b/>
          <w:bCs/>
          <w:color w:val="000000" w:themeColor="text1"/>
          <w:sz w:val="28"/>
          <w:szCs w:val="28"/>
        </w:rPr>
        <w:t xml:space="preserve"> Организационный отдел</w:t>
      </w:r>
    </w:p>
    <w:p w:rsidR="00686D5F" w:rsidRPr="00842056" w:rsidRDefault="00686D5F" w:rsidP="006F01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4373A5" w:rsidRPr="006E0E64" w:rsidRDefault="00686D5F" w:rsidP="00437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труда  является юридическим лицом, 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самостоятельный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баланс, имущество на праве безвозмездного пользования, может от своего имени осуществлять имущественные и неимущественные права, выполнять обязанности, нести ответственность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proofErr w:type="spellStart"/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сдействующим</w:t>
      </w:r>
      <w:proofErr w:type="spellEnd"/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печать с воспроизвед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ением Государственного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герба Российской Федерации и 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своим  наименованием, 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соответствующие 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штампы, 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бланки</w:t>
      </w:r>
      <w:r w:rsidR="00970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счета, открыт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в </w:t>
      </w:r>
      <w:r w:rsidR="00437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законодательством Российской Федерации. </w:t>
      </w:r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Расположено по адресу: 357930, Ставропольский край, </w:t>
      </w:r>
      <w:proofErr w:type="spellStart"/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Степновский</w:t>
      </w:r>
      <w:proofErr w:type="spellEnd"/>
      <w:r w:rsidR="004373A5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село Степное, пл. Ленина, дом № 46.</w:t>
      </w:r>
    </w:p>
    <w:p w:rsidR="004373A5" w:rsidRPr="006E0E64" w:rsidRDefault="004373A5" w:rsidP="0043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Управление труда поставлено на учет в Межрайонной инспекции Федеральной налоговой службы № 1 по Ставропольскому краю 23.12.2009 г. с присвоением идентификационного номера налогоплательщика 2620005845 с кодом постановки на учет 262001001.</w:t>
      </w:r>
    </w:p>
    <w:p w:rsidR="004373A5" w:rsidRPr="006E0E64" w:rsidRDefault="004373A5" w:rsidP="0043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Управление труда зарегистрировано в Едином государственном реестре юридических лиц с присвоением основного регистрационного номера 1092641000495.</w:t>
      </w:r>
    </w:p>
    <w:p w:rsidR="004373A5" w:rsidRDefault="004373A5" w:rsidP="0043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Управление труда учтено в составе Единого государственного реестра предприятий и организаций всех форм собственности и хозяйствования с присвоением кодов Общероссийских классификаторов </w:t>
      </w:r>
      <w:proofErr w:type="spellStart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технико</w:t>
      </w:r>
      <w:proofErr w:type="spellEnd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экономической и социальной информацией: ОКПО - 63904027; ОКОГУ – </w:t>
      </w:r>
      <w:proofErr w:type="gramStart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32100;  ОКТ</w:t>
      </w:r>
      <w:r w:rsidR="0021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proofErr w:type="gramEnd"/>
      <w:r w:rsidR="0021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07652426;  ОКВЭД – 84.11.32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 ОКОПФ – 75404; ОКФС – 14.</w:t>
      </w:r>
    </w:p>
    <w:p w:rsidR="00CE7D08" w:rsidRPr="006E0E64" w:rsidRDefault="00CE7D08" w:rsidP="00CE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Имущество, переданное Управлению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gramStart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  безвозмездного</w:t>
      </w:r>
      <w:proofErr w:type="gramEnd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пользования числится на </w:t>
      </w:r>
      <w:proofErr w:type="spellStart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забалансовом</w:t>
      </w:r>
      <w:proofErr w:type="spellEnd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счете.</w:t>
      </w:r>
    </w:p>
    <w:p w:rsidR="00CE7D08" w:rsidRPr="006E0E64" w:rsidRDefault="00CE7D08" w:rsidP="00CE7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 Финансирование расходов на содержание  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осуществлялось за счет субвенций, выделяемых из краевого бюджета бюджету </w:t>
      </w:r>
      <w:proofErr w:type="spellStart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 согласно Закона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граждан».</w:t>
      </w:r>
    </w:p>
    <w:p w:rsidR="00686D5F" w:rsidRPr="00842056" w:rsidRDefault="00415183" w:rsidP="00415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Степновского</w:t>
      </w:r>
      <w:proofErr w:type="spellEnd"/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Ставропольского края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18/82-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Степн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овского</w:t>
      </w:r>
      <w:proofErr w:type="spellEnd"/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Ставропольского края  на 2020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686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труда</w:t>
      </w:r>
      <w:r w:rsidR="00686D5F" w:rsidRPr="00F37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D5F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включено в перечень главных распорядителей средств местного бюджета в составе ведомственной структуры расходов и, соответственно, наделено бюджетными полномочиями главного распорядителя средств местного бюджета (далее - ГРБС), определенными статьей 158 БК РФ, по коду ведомства 509.</w:t>
      </w:r>
      <w:r w:rsidR="00686D5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1CD7" w:rsidRDefault="00464C18" w:rsidP="0043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11CD7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Штатная ч</w:t>
      </w:r>
      <w:r w:rsidR="00FD0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исленность работников </w:t>
      </w:r>
      <w:r w:rsidR="00211CD7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составила 23  единицы, в том числе  муниципальных служащих 16 единиц, работники, замещающие должности, не являющиеся должностями муниципальной службы  2 единицы и обслуживающий персонал 5 единиц или на уровне прошлого года.</w:t>
      </w:r>
    </w:p>
    <w:p w:rsidR="00FD0BD5" w:rsidRDefault="00FD0BD5" w:rsidP="0043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По состоянию на 01 января 2021 года на учете в Управлении труда состоит на учете 11 532 получателя социальных выплат, прогнозная численность на 2020 год составляла 12 181 человек.</w:t>
      </w:r>
    </w:p>
    <w:p w:rsidR="00882001" w:rsidRPr="007F7D11" w:rsidRDefault="00CF319B" w:rsidP="007F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82001" w:rsidRPr="007F7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D0F71" w:rsidRPr="007F7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требованиями частью 3 статьи </w:t>
      </w:r>
      <w:r w:rsidR="00FE4721" w:rsidRPr="007F7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Федерального закона от 06.12.2011г.</w:t>
      </w:r>
      <w:r w:rsidR="007C5168" w:rsidRPr="007F7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4721" w:rsidRPr="007F7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402-</w:t>
      </w:r>
      <w:proofErr w:type="gramStart"/>
      <w:r w:rsidR="00FE4721" w:rsidRPr="007F7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 "</w:t>
      </w:r>
      <w:proofErr w:type="gramEnd"/>
      <w:r w:rsidR="00FE4721" w:rsidRPr="007F7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бухгалтерском учете" ((далее – Закон № 402-ФЗ) ответственным за ведение бухгалтерского учета является главный бухгалтер.</w:t>
      </w:r>
    </w:p>
    <w:p w:rsidR="00882001" w:rsidRDefault="00464C18" w:rsidP="00464C1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</w:t>
      </w:r>
      <w:r w:rsidR="00882001" w:rsidRPr="00842056">
        <w:rPr>
          <w:bCs/>
          <w:color w:val="000000" w:themeColor="text1"/>
          <w:sz w:val="28"/>
          <w:szCs w:val="28"/>
        </w:rPr>
        <w:t xml:space="preserve">Для составления годовой отчетности </w:t>
      </w:r>
      <w:r w:rsidR="005D7D01">
        <w:rPr>
          <w:bCs/>
          <w:color w:val="000000" w:themeColor="text1"/>
          <w:sz w:val="28"/>
          <w:szCs w:val="28"/>
        </w:rPr>
        <w:t>Управления труда</w:t>
      </w:r>
      <w:r w:rsidR="00882001" w:rsidRPr="00842056">
        <w:rPr>
          <w:bCs/>
          <w:color w:val="000000" w:themeColor="text1"/>
          <w:sz w:val="28"/>
          <w:szCs w:val="28"/>
        </w:rPr>
        <w:t xml:space="preserve"> применяется Инструкция № 191н).</w:t>
      </w:r>
    </w:p>
    <w:p w:rsidR="0062735C" w:rsidRPr="00457CED" w:rsidRDefault="00822A53" w:rsidP="00CB0EB0">
      <w:pPr>
        <w:pStyle w:val="a3"/>
        <w:shd w:val="clear" w:color="auto" w:fill="FFFFFF"/>
        <w:spacing w:line="330" w:lineRule="atLeast"/>
        <w:jc w:val="center"/>
        <w:rPr>
          <w:rStyle w:val="ae"/>
          <w:color w:val="000000" w:themeColor="text1"/>
          <w:sz w:val="28"/>
          <w:szCs w:val="28"/>
        </w:rPr>
      </w:pPr>
      <w:r>
        <w:rPr>
          <w:rStyle w:val="ae"/>
          <w:color w:val="000000" w:themeColor="text1"/>
          <w:sz w:val="28"/>
          <w:szCs w:val="28"/>
        </w:rPr>
        <w:t>3. Анализ</w:t>
      </w:r>
      <w:r w:rsidR="0062735C" w:rsidRPr="00457CED">
        <w:rPr>
          <w:rStyle w:val="ae"/>
          <w:color w:val="000000" w:themeColor="text1"/>
          <w:sz w:val="28"/>
          <w:szCs w:val="28"/>
        </w:rPr>
        <w:t xml:space="preserve"> соответствия</w:t>
      </w:r>
      <w:r w:rsidR="00A67BB6">
        <w:rPr>
          <w:rStyle w:val="ae"/>
          <w:color w:val="000000" w:themeColor="text1"/>
          <w:sz w:val="28"/>
          <w:szCs w:val="28"/>
        </w:rPr>
        <w:t xml:space="preserve"> </w:t>
      </w:r>
      <w:r w:rsidR="0062735C" w:rsidRPr="00457CED">
        <w:rPr>
          <w:rStyle w:val="ae"/>
          <w:color w:val="000000" w:themeColor="text1"/>
          <w:sz w:val="28"/>
          <w:szCs w:val="28"/>
        </w:rPr>
        <w:t xml:space="preserve"> форм годовой отчетности требованиям инструкции</w:t>
      </w:r>
    </w:p>
    <w:p w:rsidR="00C41651" w:rsidRDefault="006C36EB" w:rsidP="00E03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37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CE3DEF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4 Инструкции  №191н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труда представлена </w:t>
      </w:r>
      <w:r w:rsidR="00C4165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</w:t>
      </w:r>
      <w:r w:rsidR="00F37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370F9">
        <w:rPr>
          <w:rFonts w:ascii="Times New Roman" w:hAnsi="Times New Roman" w:cs="Times New Roman"/>
          <w:color w:val="000000" w:themeColor="text1"/>
          <w:sz w:val="28"/>
          <w:szCs w:val="28"/>
        </w:rPr>
        <w:t>юджетной отчетности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F370F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416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65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составленная</w:t>
      </w:r>
      <w:r w:rsidR="00C41651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документы отчетности</w:t>
      </w:r>
      <w:r w:rsidR="00C41651" w:rsidRPr="00C41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пронумерованы, сброшюрованы, представлены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с оглавлением и сопроводительным письмом</w:t>
      </w:r>
      <w:r w:rsidR="00C41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DEF" w:rsidRDefault="00C41651" w:rsidP="00E03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требованиями пунктов 4 и 6 Инструкции № 191 н бюджетная отчетность подписана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DEF">
        <w:rPr>
          <w:rFonts w:ascii="Times New Roman" w:hAnsi="Times New Roman" w:cs="Times New Roman"/>
          <w:sz w:val="28"/>
          <w:szCs w:val="28"/>
        </w:rPr>
        <w:t xml:space="preserve"> усиленной квалифи</w:t>
      </w:r>
      <w:r w:rsidR="009C2F99">
        <w:rPr>
          <w:rFonts w:ascii="Times New Roman" w:hAnsi="Times New Roman" w:cs="Times New Roman"/>
          <w:sz w:val="28"/>
          <w:szCs w:val="28"/>
        </w:rPr>
        <w:t>цированной электронной подписью начальника Управления труда и начальника отдела – главного бухгалтера</w:t>
      </w:r>
      <w:r w:rsidR="00CE3DEF">
        <w:rPr>
          <w:rFonts w:ascii="Times New Roman" w:hAnsi="Times New Roman" w:cs="Times New Roman"/>
          <w:sz w:val="28"/>
          <w:szCs w:val="28"/>
        </w:rPr>
        <w:t>.</w:t>
      </w:r>
    </w:p>
    <w:p w:rsidR="00CB0EB0" w:rsidRDefault="00CB0EB0" w:rsidP="00E03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пунктом </w:t>
      </w:r>
      <w:r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Инструкции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191н отчетность составлена нарастающим итогом с начала года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6D5F" w:rsidRDefault="00686D5F" w:rsidP="00E03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DE5">
        <w:rPr>
          <w:rFonts w:ascii="Times New Roman" w:hAnsi="Times New Roman" w:cs="Times New Roman"/>
          <w:sz w:val="28"/>
          <w:szCs w:val="28"/>
        </w:rPr>
        <w:t>В соответствии с требованием пункта 11.1 Инструкции № 191н Управление труда предоставило бюджетную</w:t>
      </w:r>
      <w:r>
        <w:rPr>
          <w:rFonts w:ascii="Times New Roman" w:hAnsi="Times New Roman" w:cs="Times New Roman"/>
          <w:sz w:val="28"/>
          <w:szCs w:val="28"/>
        </w:rPr>
        <w:t xml:space="preserve"> отчетность в составе следующих форм:</w:t>
      </w:r>
    </w:p>
    <w:p w:rsidR="00686D5F" w:rsidRPr="00842056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0503130)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D5F" w:rsidRPr="00842056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Справка по консолидируемым расчетам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0503125)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D5F" w:rsidRPr="00842056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3.Справка по заключению счетов бюджетного учета отчетного финансового года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0503110)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D5F" w:rsidRPr="00842056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0503127)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D5F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5.Отчет о бюджетных обязательствах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0503128)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DE5" w:rsidRPr="00842056" w:rsidRDefault="00731DE5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6.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бюджетных обязательствах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0503128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- НП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D5F" w:rsidRPr="00842056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31D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.Отчет о финансовых результатах деятельности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0503121)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D5F" w:rsidRPr="00842056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31DE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.Отчет о движении денежных средств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0503123)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D5F" w:rsidRDefault="00686D5F" w:rsidP="0068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31D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.Пояснительная записка (текстовая часть с приложениями)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0503160)</w:t>
        </w:r>
      </w:hyperlink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4FF0" w:rsidRPr="00842056" w:rsidRDefault="00686D5F" w:rsidP="00686D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2FA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82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пояснительной записки (форма </w:t>
      </w:r>
      <w:r w:rsidR="007212FA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0503160) н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B13BD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к годовому отчету,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отсутствием показателей</w:t>
      </w:r>
      <w:r w:rsidR="007212FA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формы:</w:t>
      </w:r>
    </w:p>
    <w:p w:rsidR="00F04FF0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правка о суммах консолидируемых поступлений, подлежащих зачислению на счет бюджета </w:t>
      </w:r>
      <w:hyperlink r:id="rId15" w:history="1">
        <w:r w:rsidR="00982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="00F04FF0"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0503184)</w:t>
        </w:r>
      </w:hyperlink>
      <w:r w:rsidR="0039396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430" w:rsidRPr="00842056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50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2808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</w:t>
      </w:r>
      <w:r w:rsidR="00E1667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5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исполнении мероприят</w:t>
      </w:r>
      <w:r w:rsidR="009825CB">
        <w:rPr>
          <w:rFonts w:ascii="Times New Roman" w:hAnsi="Times New Roman" w:cs="Times New Roman"/>
          <w:color w:val="000000" w:themeColor="text1"/>
          <w:sz w:val="28"/>
          <w:szCs w:val="28"/>
        </w:rPr>
        <w:t>ий в рамках целевых программ (форма</w:t>
      </w:r>
      <w:r w:rsidR="0085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0503166);</w:t>
      </w:r>
    </w:p>
    <w:p w:rsidR="00F04FF0" w:rsidRPr="00842056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целевых иностранных кредитах </w:t>
      </w:r>
      <w:hyperlink r:id="rId16" w:history="1">
        <w:r w:rsidR="00982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="00F04FF0"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0503167)</w:t>
        </w:r>
      </w:hyperlink>
      <w:r w:rsidR="0039396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FF0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финансовых вложениях получателя бюджетных средств, администратора источников финансирования дефицита бюджета </w:t>
      </w:r>
      <w:hyperlink r:id="rId17" w:history="1">
        <w:r w:rsidR="00982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="00F04FF0"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0503171</w:t>
        </w:r>
      </w:hyperlink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396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1AE7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с</w:t>
      </w:r>
      <w:r w:rsidR="00BD1AE7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государственном (муниципальном) долге, предос</w:t>
      </w:r>
      <w:r w:rsidR="00982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тавленных бюджетных кредитах (форма </w:t>
      </w:r>
      <w:r w:rsidR="00BD1AE7">
        <w:rPr>
          <w:rFonts w:ascii="Times New Roman" w:hAnsi="Times New Roman" w:cs="Times New Roman"/>
          <w:color w:val="000000" w:themeColor="text1"/>
          <w:sz w:val="28"/>
          <w:szCs w:val="28"/>
        </w:rPr>
        <w:t>0503172);</w:t>
      </w:r>
    </w:p>
    <w:p w:rsidR="00BD1AE7" w:rsidRPr="00BD1AE7" w:rsidRDefault="00415183" w:rsidP="00BD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D1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1AE7">
        <w:rPr>
          <w:rFonts w:ascii="Times New Roman" w:hAnsi="Times New Roman" w:cs="Times New Roman"/>
          <w:sz w:val="28"/>
          <w:szCs w:val="28"/>
        </w:rPr>
        <w:t xml:space="preserve">ведения об изменении остатков валюты баланса </w:t>
      </w:r>
      <w:hyperlink r:id="rId18" w:history="1">
        <w:r w:rsidR="009825CB">
          <w:rPr>
            <w:rFonts w:ascii="Times New Roman" w:hAnsi="Times New Roman" w:cs="Times New Roman"/>
            <w:sz w:val="28"/>
            <w:szCs w:val="28"/>
          </w:rPr>
          <w:t>(форма</w:t>
        </w:r>
        <w:r w:rsidR="00BD1AE7" w:rsidRPr="00BD1AE7">
          <w:rPr>
            <w:rFonts w:ascii="Times New Roman" w:hAnsi="Times New Roman" w:cs="Times New Roman"/>
            <w:sz w:val="28"/>
            <w:szCs w:val="28"/>
          </w:rPr>
          <w:t xml:space="preserve"> 0503173)</w:t>
        </w:r>
      </w:hyperlink>
      <w:r w:rsidR="00BD1AE7">
        <w:rPr>
          <w:rFonts w:ascii="Times New Roman" w:hAnsi="Times New Roman" w:cs="Times New Roman"/>
          <w:sz w:val="28"/>
          <w:szCs w:val="28"/>
        </w:rPr>
        <w:t>;</w:t>
      </w:r>
    </w:p>
    <w:p w:rsidR="00F04FF0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9" w:history="1">
        <w:r w:rsidR="00982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="00F04FF0"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0503174)</w:t>
        </w:r>
      </w:hyperlink>
      <w:r w:rsidR="0039396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FF0" w:rsidRPr="00842056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об остатках денежных средств на счетах получателя бюджетных средств </w:t>
      </w:r>
      <w:hyperlink r:id="rId20" w:history="1">
        <w:r w:rsidR="00982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="00F04FF0"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0503178)</w:t>
        </w:r>
      </w:hyperlink>
      <w:r w:rsidR="0039396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4FF0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вложениях в объекты недвижимого имущества, объектах незавершенного строительства </w:t>
      </w:r>
      <w:hyperlink r:id="rId21" w:history="1">
        <w:r w:rsidR="00982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</w:t>
        </w:r>
        <w:r w:rsidR="00F04FF0"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0503190)</w:t>
        </w:r>
      </w:hyperlink>
      <w:r w:rsidR="0039396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1AE7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BD1AE7">
        <w:rPr>
          <w:rFonts w:ascii="Times New Roman" w:hAnsi="Times New Roman" w:cs="Times New Roman"/>
          <w:sz w:val="28"/>
          <w:szCs w:val="28"/>
        </w:rPr>
        <w:t xml:space="preserve">ведения об исполнении судебных решений по денежным обязательствам бюджета </w:t>
      </w:r>
      <w:hyperlink r:id="rId22" w:history="1">
        <w:r w:rsidR="009825CB">
          <w:rPr>
            <w:rFonts w:ascii="Times New Roman" w:hAnsi="Times New Roman" w:cs="Times New Roman"/>
            <w:sz w:val="28"/>
            <w:szCs w:val="28"/>
          </w:rPr>
          <w:t>(форма</w:t>
        </w:r>
        <w:r w:rsidR="00BD1AE7" w:rsidRPr="00BD1AE7">
          <w:rPr>
            <w:rFonts w:ascii="Times New Roman" w:hAnsi="Times New Roman" w:cs="Times New Roman"/>
            <w:sz w:val="28"/>
            <w:szCs w:val="28"/>
          </w:rPr>
          <w:t xml:space="preserve"> 0503296)</w:t>
        </w:r>
      </w:hyperlink>
      <w:r w:rsidR="00BD1AE7">
        <w:rPr>
          <w:rFonts w:ascii="Times New Roman" w:hAnsi="Times New Roman" w:cs="Times New Roman"/>
          <w:sz w:val="28"/>
          <w:szCs w:val="28"/>
        </w:rPr>
        <w:t>;</w:t>
      </w:r>
    </w:p>
    <w:p w:rsidR="00852808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852808">
        <w:rPr>
          <w:rFonts w:ascii="Times New Roman" w:hAnsi="Times New Roman" w:cs="Times New Roman"/>
          <w:sz w:val="28"/>
          <w:szCs w:val="28"/>
        </w:rPr>
        <w:t>ведения о направлениях деятельности (Таблица № 1);</w:t>
      </w:r>
    </w:p>
    <w:p w:rsidR="00852808" w:rsidRPr="00842056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852808">
        <w:rPr>
          <w:rFonts w:ascii="Times New Roman" w:hAnsi="Times New Roman" w:cs="Times New Roman"/>
          <w:sz w:val="28"/>
          <w:szCs w:val="28"/>
        </w:rPr>
        <w:t>ведения об основных положениях учетной политики (Таблица № 4);</w:t>
      </w:r>
    </w:p>
    <w:p w:rsidR="00F04FF0" w:rsidRDefault="00415183" w:rsidP="00F0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C2931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FF0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проведении инвентаризаций </w:t>
      </w:r>
      <w:hyperlink r:id="rId23" w:history="1">
        <w:r w:rsidR="00731DE5">
          <w:rPr>
            <w:rFonts w:ascii="Times New Roman" w:hAnsi="Times New Roman" w:cs="Times New Roman"/>
            <w:color w:val="000000" w:themeColor="text1"/>
            <w:sz w:val="28"/>
            <w:szCs w:val="28"/>
          </w:rPr>
          <w:t>(Таблица №</w:t>
        </w:r>
        <w:r w:rsidR="00F04FF0" w:rsidRPr="0084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6)</w:t>
        </w:r>
      </w:hyperlink>
      <w:r w:rsidR="00BD1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BB1" w:rsidRDefault="00434BB1" w:rsidP="0043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Не представлена и не нашла отражение в Разделе 5 «Прочие вопросы деятельности субъекта бюджетной отчетности» текстовой части Пояснительной записки (форма 0503160) форма 0503230 «Разделительный (ликвидационный) баланс</w:t>
      </w:r>
      <w:r w:rsidRPr="00B9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34BB1" w:rsidRDefault="00434BB1" w:rsidP="0043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 кодовой зоне заголовочной части Баланса (форма 0503130) указан код ОКВЭД.</w:t>
      </w:r>
    </w:p>
    <w:p w:rsidR="00434BB1" w:rsidRPr="00CC0AEC" w:rsidRDefault="00434BB1" w:rsidP="0043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464C55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пунктом 21</w:t>
      </w:r>
      <w:r w:rsidRPr="00CC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Инструкции № 191н главным распорядителем, распорядителем бюджетных средств, главным администратором, администратором, осуществляющим отдельные полномочия главного администратора источников финансирования дефицита бюджета, главным администратором, администратором, осуществляющим отдельные полномочия главного администратора доходов бюджета в </w:t>
      </w:r>
      <w:hyperlink r:id="rId24" w:anchor="block_5031301" w:history="1">
        <w:r w:rsidRPr="00CC0AE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кодовой зоне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заголовочной части Баланса (форма</w:t>
      </w:r>
      <w:r w:rsidRPr="00CC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0503130) код </w:t>
      </w:r>
      <w:hyperlink r:id="rId25" w:history="1">
        <w:r w:rsidRPr="00CC0AE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ОКВЭД</w:t>
        </w:r>
      </w:hyperlink>
      <w:r w:rsidRPr="00CC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указывается.</w:t>
      </w:r>
    </w:p>
    <w:p w:rsidR="00030824" w:rsidRPr="00485FC6" w:rsidRDefault="00434BB1" w:rsidP="00485F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F848A3" w:rsidRPr="006E0E64">
        <w:rPr>
          <w:color w:val="000000" w:themeColor="text1"/>
          <w:sz w:val="28"/>
          <w:szCs w:val="28"/>
        </w:rPr>
        <w:t>Согласно пункта 7 Инструкции № 191н бюджетная отчетность составляется на основе данных главной книги и (или) других регистров бюджетного учета,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r w:rsidR="00485FC6" w:rsidRPr="00485FC6">
        <w:rPr>
          <w:bCs/>
          <w:color w:val="FF0000"/>
          <w:sz w:val="28"/>
          <w:szCs w:val="28"/>
        </w:rPr>
        <w:t xml:space="preserve"> </w:t>
      </w:r>
    </w:p>
    <w:p w:rsidR="00030824" w:rsidRPr="00030824" w:rsidRDefault="00030824" w:rsidP="00030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5E56FA" w:rsidRDefault="00CC7205" w:rsidP="00293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4. Анализ показателей</w:t>
      </w:r>
      <w:r w:rsidR="005E56FA" w:rsidRPr="0003082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2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</w:t>
      </w:r>
      <w:r w:rsidR="005E56FA" w:rsidRPr="00030824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бюджетной отчётности главного администратора бюджетных средств</w:t>
      </w:r>
    </w:p>
    <w:p w:rsidR="00B433E0" w:rsidRDefault="00B433E0" w:rsidP="00293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CA7" w:rsidRDefault="00293621" w:rsidP="002936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15183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CA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Внешняя проверка годовой бюджетной отчетности </w:t>
      </w:r>
      <w:r w:rsidR="00485FC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труда за 2020</w:t>
      </w:r>
      <w:r w:rsidR="00477CA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проводилась</w:t>
      </w:r>
      <w:r w:rsidR="0061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4A6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</w:t>
      </w:r>
      <w:proofErr w:type="spellEnd"/>
      <w:r w:rsidR="00477CA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выборочной основе с применением принципа существенности и включала в себя анализ</w:t>
      </w:r>
      <w:r w:rsidR="002B13C6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отдельных форм бюджетной отчетности, оценку достоверности бюджетной отчетности в отношении внутренней согласованности форм отчетности и соответствия плановых показателей, указанных в отчетности, показателям утвержденного бюджета.</w:t>
      </w:r>
    </w:p>
    <w:p w:rsidR="00293621" w:rsidRPr="006E0E64" w:rsidRDefault="00415183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  </w:t>
      </w:r>
      <w:r w:rsidR="00293621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Отчёте о финансовых результатах деятельности (далее – </w:t>
      </w:r>
      <w:proofErr w:type="gramStart"/>
      <w:r w:rsidR="00293621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 0503121</w:t>
      </w:r>
      <w:proofErr w:type="gramEnd"/>
      <w:r w:rsidR="00293621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представлены данные о финансовых результатах деятельности Управления труд</w:t>
      </w:r>
      <w:r w:rsidR="00293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при исполнении бюджета за 2020</w:t>
      </w:r>
      <w:r w:rsidR="00293621"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разрезе кодов классификации операций сектора государственного управления по бюджетной деятельности.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    В представленном отчёте сумма доходов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ставила 242 564,37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безвозмездные денежные поступления текущего характера (поступления текущего характера от других бюджетов бюджетной системы Российской Федерации) 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242 241,04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 доходы от оказания платных услуг  (работ), компенсаций затрат (доходы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компенсации затрат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323,33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расходов составила 242 590,48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оплата труда и начисления на вы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по оплате труда – 9 831,73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работ, услуг – 1 815,77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социа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льное обеспечение – 230 490,15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расходы 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операциям с активами – 451,30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прочие расходы – 1,53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  Сумма операций с нефинан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совыми активами составила  -  44,40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увеличение стоимости основных сред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на 193,38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 стоимост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материальных запасов на 302,33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уменьшения стои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мости основных средств на 193,38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стоимости материальных запасов н</w:t>
      </w:r>
      <w:r w:rsidR="002C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257,93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1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тельный результат операций с финансовыми активами и об</w:t>
      </w:r>
      <w:r w:rsidR="00A1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язательствами в сумме  70,52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сложился из разницы сумм: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отрица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тельный результат по операциям с финансовыми активами в сумме </w:t>
      </w:r>
      <w:r w:rsidR="00A1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509 371,51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отрица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тельный результат операци</w:t>
      </w:r>
      <w:r w:rsidR="00A1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 обязательствами – 509 300,99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93621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 Чистый операцион</w:t>
      </w:r>
      <w:r w:rsidR="00A1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результат составил (-) 26,12</w:t>
      </w: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Отрицательный  результат означает превышение расходов над доходами или обязательств над активами.</w:t>
      </w:r>
    </w:p>
    <w:p w:rsidR="00434BB1" w:rsidRPr="006E0E64" w:rsidRDefault="00434BB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Обесценения объектов нефинансо</w:t>
      </w:r>
      <w:r w:rsidR="00144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активов в Управлении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производилось. Долгосрочных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активов</w:t>
      </w:r>
      <w:r w:rsidR="00144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особо ценного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144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Управлении труда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нет. Движение нефинансовых активов отражено в полном объеме, что соответствует показателям бюджетной отчетности формы 0503168 «Сведения о движении нефинансовых активов».</w:t>
      </w:r>
    </w:p>
    <w:p w:rsidR="00293621" w:rsidRPr="006E0E64" w:rsidRDefault="00293621" w:rsidP="0029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За отчетный период остатки валюты баланса в Управлении труда не изменились.</w:t>
      </w:r>
    </w:p>
    <w:p w:rsidR="00FD05DB" w:rsidRDefault="00B433E0" w:rsidP="00485F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C3BD8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решению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>Степновского</w:t>
      </w:r>
      <w:proofErr w:type="spellEnd"/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  </w:t>
      </w:r>
      <w:r w:rsidR="00BC3BD8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 от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5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836330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83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BD8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>8/108-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3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6330" w:rsidRPr="00836330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977B36">
        <w:rPr>
          <w:rFonts w:ascii="Times New Roman" w:hAnsi="Times New Roman" w:cs="Times New Roman"/>
          <w:sz w:val="28"/>
        </w:rPr>
        <w:t xml:space="preserve">бюджет </w:t>
      </w:r>
      <w:proofErr w:type="spellStart"/>
      <w:r w:rsidR="00977B36">
        <w:rPr>
          <w:rFonts w:ascii="Times New Roman" w:hAnsi="Times New Roman" w:cs="Times New Roman"/>
          <w:sz w:val="28"/>
        </w:rPr>
        <w:t>Степновского</w:t>
      </w:r>
      <w:proofErr w:type="spellEnd"/>
      <w:r w:rsidR="00977B36">
        <w:rPr>
          <w:rFonts w:ascii="Times New Roman" w:hAnsi="Times New Roman" w:cs="Times New Roman"/>
          <w:sz w:val="28"/>
        </w:rPr>
        <w:t xml:space="preserve"> муниципального район</w:t>
      </w:r>
      <w:r w:rsidR="00836330" w:rsidRPr="00836330">
        <w:rPr>
          <w:rFonts w:ascii="Times New Roman" w:hAnsi="Times New Roman" w:cs="Times New Roman"/>
          <w:sz w:val="28"/>
        </w:rPr>
        <w:t>а Ставропольского края</w:t>
      </w:r>
      <w:r w:rsidR="00977B36">
        <w:rPr>
          <w:rFonts w:ascii="Times New Roman" w:hAnsi="Times New Roman" w:cs="Times New Roman"/>
          <w:sz w:val="28"/>
        </w:rPr>
        <w:t xml:space="preserve"> на 2020 год и плановый период 2021 и 2022 годов, утвержденный решением Совета </w:t>
      </w:r>
      <w:proofErr w:type="spellStart"/>
      <w:r w:rsidR="00977B36">
        <w:rPr>
          <w:rFonts w:ascii="Times New Roman" w:hAnsi="Times New Roman" w:cs="Times New Roman"/>
          <w:sz w:val="28"/>
        </w:rPr>
        <w:t>Степновского</w:t>
      </w:r>
      <w:proofErr w:type="spellEnd"/>
      <w:r w:rsidR="00977B36">
        <w:rPr>
          <w:rFonts w:ascii="Times New Roman" w:hAnsi="Times New Roman" w:cs="Times New Roman"/>
          <w:sz w:val="28"/>
        </w:rPr>
        <w:t xml:space="preserve"> муниципального района Ставропольского края  от 12 декабря 2019 года № 18/82- </w:t>
      </w:r>
      <w:r w:rsidR="00977B36">
        <w:rPr>
          <w:rFonts w:ascii="Times New Roman" w:hAnsi="Times New Roman" w:cs="Times New Roman"/>
          <w:sz w:val="28"/>
          <w:lang w:val="en-US"/>
        </w:rPr>
        <w:t>IV</w:t>
      </w:r>
      <w:r w:rsidR="0019238A">
        <w:rPr>
          <w:rFonts w:ascii="Times New Roman" w:hAnsi="Times New Roman" w:cs="Times New Roman"/>
          <w:sz w:val="28"/>
        </w:rPr>
        <w:t xml:space="preserve"> (далее – Решение от 14 декабря 2020 года  № 8/108 – </w:t>
      </w:r>
      <w:r w:rsidR="0019238A">
        <w:rPr>
          <w:rFonts w:ascii="Times New Roman" w:hAnsi="Times New Roman" w:cs="Times New Roman"/>
          <w:sz w:val="28"/>
          <w:lang w:val="en-US"/>
        </w:rPr>
        <w:t>I</w:t>
      </w:r>
      <w:r w:rsidR="0019238A">
        <w:rPr>
          <w:rFonts w:ascii="Times New Roman" w:hAnsi="Times New Roman" w:cs="Times New Roman"/>
          <w:sz w:val="28"/>
        </w:rPr>
        <w:t>)</w:t>
      </w:r>
      <w:r w:rsidR="00836330" w:rsidRPr="00836330">
        <w:rPr>
          <w:rFonts w:ascii="Times New Roman" w:hAnsi="Times New Roman" w:cs="Times New Roman"/>
          <w:sz w:val="28"/>
        </w:rPr>
        <w:t xml:space="preserve"> </w:t>
      </w:r>
      <w:r w:rsidR="00BC3BD8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данных </w:t>
      </w:r>
      <w:r w:rsidR="00C675ED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отчета об исполнении бюджета (</w:t>
      </w:r>
      <w:r w:rsidR="00192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BC3BD8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0503127</w:t>
      </w:r>
      <w:r w:rsidR="00C675ED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C3BD8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утвержденные бюджетные назначения по доходам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труда </w:t>
      </w:r>
      <w:r w:rsidR="0003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EC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>249 599,78 тыс.</w:t>
      </w:r>
      <w:r w:rsidR="00D96EC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 поступило  в отчетном периоде </w:t>
      </w:r>
      <w:r w:rsidR="0097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242 549,74 тыс. </w:t>
      </w:r>
      <w:r w:rsidR="00D96EC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0A7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97,2 процента</w:t>
      </w:r>
      <w:r w:rsidR="00D96EC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5DB" w:rsidRPr="002A1009" w:rsidRDefault="00FD05DB" w:rsidP="00FD0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A1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Отклонения от  планового процента исполнения по доходам сложились по следующим субвенциям:</w:t>
      </w:r>
    </w:p>
    <w:p w:rsidR="00FD05DB" w:rsidRPr="002A1009" w:rsidRDefault="00FD05DB" w:rsidP="00FD0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субвенции бюджетам муниципальных районов на </w:t>
      </w:r>
      <w:r w:rsidR="008B4DAA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передаваемых полномочий субъектов Российской Федерации (выплата ежегодного социального пособия на проезд студентам) 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коду доходов 509 2 02 </w:t>
      </w:r>
      <w:r w:rsidR="00167EAF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30024 05 0042 150</w:t>
      </w:r>
      <w:r w:rsidR="00850B5E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поступление ниж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50B5E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плановых назначений на 4,7</w:t>
      </w:r>
      <w:r w:rsidR="002A1009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FD05DB" w:rsidRPr="002A1009" w:rsidRDefault="00FD05DB" w:rsidP="00FD0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субвенции бюджетам муниципальных районов на </w:t>
      </w:r>
      <w:r w:rsidR="00850B5E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 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коду дохо</w:t>
      </w:r>
      <w:r w:rsidR="00995039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 509 2 02 30024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</w:t>
      </w:r>
      <w:r w:rsidR="00995039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1241 150 поступление ниж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C1F65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плановых назначений на 30,16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2A1009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1009" w:rsidRPr="002A1009" w:rsidRDefault="002A1009" w:rsidP="002A1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прочие доходы от компенсации затрат бюджетов муниципальных районов в части доходов органов местного самоуправления по коду доходов 509 1 13 02995 05 1000 130 на сумму 323,65 тыс. рублей (кассовый план по прочим доходам в бюджете </w:t>
      </w:r>
      <w:proofErr w:type="spellStart"/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не формируется);</w:t>
      </w:r>
    </w:p>
    <w:p w:rsidR="00FD05DB" w:rsidRPr="002A1009" w:rsidRDefault="002A1009" w:rsidP="00FD0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D05DB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прочие межбюджетные трансферты, передаваемые бюджетам муниципальных районов (выплата социального пособия на погребение) по коду доходов 509 2 02 4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9999 05 0063 150</w:t>
      </w:r>
      <w:r w:rsidR="00C75507"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поступление ниже плановых назначений на 31,25</w:t>
      </w:r>
      <w:r w:rsidRPr="002A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A1009" w:rsidRDefault="002A1009" w:rsidP="002A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FC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</w:t>
      </w:r>
      <w:r w:rsidRPr="006D7F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Невыполнение плановых показателей сложилось по причине заявительного характера выплаты пособий и компенсаций. </w:t>
      </w:r>
    </w:p>
    <w:p w:rsidR="0019238A" w:rsidRPr="0042617A" w:rsidRDefault="0019238A" w:rsidP="002A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73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(форма 0503127)</w:t>
      </w:r>
      <w:r w:rsidRPr="0016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по расходам разнятся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показателями, утвержденными Р</w:t>
      </w:r>
      <w:r w:rsidRPr="00166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декабря 2020 года № 8/108</w:t>
      </w:r>
      <w:r w:rsidRPr="00166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6 973,12 тыс. </w:t>
      </w:r>
      <w:r w:rsidRPr="0016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D1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месяце 2020 года</w:t>
      </w:r>
      <w:r w:rsidR="0042617A" w:rsidRPr="0042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распоряжений</w:t>
      </w:r>
      <w:proofErr w:type="gramEnd"/>
      <w:r w:rsidR="0042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</w:t>
      </w:r>
      <w:r w:rsidR="00D1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вносились изменения в бюджетную роспись на увеличение и уменьшение бюджетных ассигнований. Уведомления из  министерства труда и социальной защиты населения Ставропольского края </w:t>
      </w:r>
      <w:r w:rsidR="00426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после проведения Решения от 14 декабря 2020 года № 8/108-</w:t>
      </w:r>
      <w:r w:rsidR="00426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2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EC7" w:rsidRDefault="00F7383D" w:rsidP="00485F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2617A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внесенных изменений,</w:t>
      </w:r>
      <w:r w:rsidR="00D96EC7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17A">
        <w:rPr>
          <w:rFonts w:ascii="Times New Roman" w:hAnsi="Times New Roman" w:cs="Times New Roman"/>
          <w:color w:val="000000" w:themeColor="text1"/>
          <w:sz w:val="28"/>
          <w:szCs w:val="28"/>
        </w:rPr>
        <w:t>объем утвержденных</w:t>
      </w:r>
      <w:r w:rsidR="00BC0FF4" w:rsidRPr="00BC0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0FF4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назначений </w:t>
      </w:r>
      <w:r w:rsidR="0042617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96EC7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расходам </w:t>
      </w:r>
      <w:r w:rsidR="00BC0FF4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D96EC7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17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243 023,38 </w:t>
      </w:r>
      <w:r w:rsidR="000A78D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D96EC7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исполнено за отчетный период </w:t>
      </w:r>
      <w:r w:rsidR="000A78D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>242 639,55 тыс.</w:t>
      </w:r>
      <w:r w:rsidR="00D96EC7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</w:t>
      </w:r>
      <w:r w:rsidR="0042617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>99,8</w:t>
      </w:r>
      <w:r w:rsidR="000A78D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="00BC0FF4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уточненных годовых бюджетных назначений. </w:t>
      </w:r>
      <w:r w:rsidR="00D96EC7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Остаток неиспользованных средств бюджета составил </w:t>
      </w:r>
      <w:r w:rsidR="0042617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383,83 </w:t>
      </w:r>
      <w:r w:rsidR="000A78DA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D96EC7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A50881" w:rsidRPr="00F738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6EB" w:rsidRDefault="00F7383D" w:rsidP="00242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       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="00B25F7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труда</w:t>
      </w:r>
      <w:r w:rsidR="0003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2FA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осуществляло 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7212FA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D2451D">
        <w:rPr>
          <w:rFonts w:ascii="Times New Roman" w:hAnsi="Times New Roman" w:cs="Times New Roman"/>
          <w:color w:val="000000" w:themeColor="text1"/>
          <w:sz w:val="28"/>
          <w:szCs w:val="28"/>
        </w:rPr>
        <w:t>оприятий в рамках  муниципальных программ</w:t>
      </w:r>
      <w:r w:rsidR="00B25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5F7D">
        <w:rPr>
          <w:rFonts w:ascii="Times New Roman" w:hAnsi="Times New Roman" w:cs="Times New Roman"/>
          <w:color w:val="000000" w:themeColor="text1"/>
          <w:sz w:val="28"/>
          <w:szCs w:val="28"/>
        </w:rPr>
        <w:t>Степновского</w:t>
      </w:r>
      <w:proofErr w:type="spellEnd"/>
      <w:r w:rsidR="00B25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Ставропольского края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103B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граждан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24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«Управление муниципальными финансами». По программе «Социальная поддержка граждан»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утвержденные бюджетные назначения на 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исполнение основных мероприятий составили </w:t>
      </w:r>
      <w:r w:rsidR="00D24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242 948,52 тыс. 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исполнено </w:t>
      </w:r>
      <w:r w:rsidR="00D2451D">
        <w:rPr>
          <w:rFonts w:ascii="Times New Roman" w:hAnsi="Times New Roman" w:cs="Times New Roman"/>
          <w:color w:val="000000" w:themeColor="text1"/>
          <w:sz w:val="28"/>
          <w:szCs w:val="28"/>
        </w:rPr>
        <w:t>242 564,69 тыс.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Не востребованные денежные средства составили </w:t>
      </w:r>
      <w:r w:rsidR="00D2451D">
        <w:rPr>
          <w:rFonts w:ascii="Times New Roman" w:hAnsi="Times New Roman" w:cs="Times New Roman"/>
          <w:color w:val="000000" w:themeColor="text1"/>
          <w:sz w:val="28"/>
          <w:szCs w:val="28"/>
        </w:rPr>
        <w:t>383</w:t>
      </w:r>
      <w:r w:rsidR="002428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451D">
        <w:rPr>
          <w:rFonts w:ascii="Times New Roman" w:hAnsi="Times New Roman" w:cs="Times New Roman"/>
          <w:color w:val="000000" w:themeColor="text1"/>
          <w:sz w:val="28"/>
          <w:szCs w:val="28"/>
        </w:rPr>
        <w:t>83 тыс.</w:t>
      </w:r>
      <w:r w:rsidR="00A5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связи с </w:t>
      </w:r>
      <w:r w:rsidR="00A5088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мер социальной поддержки отдельным категориям граждан по факту обращения граждан имеющих право на их получение</w:t>
      </w:r>
      <w:r w:rsidR="006C36EB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4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«Управление муниципальными финансами» исполнение составило 100,0 процентов или 29,90 тыс. рублей.</w:t>
      </w:r>
    </w:p>
    <w:p w:rsidR="001A318D" w:rsidRPr="00242887" w:rsidRDefault="001A318D" w:rsidP="00242887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7B5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непрограммных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987B55">
        <w:rPr>
          <w:rFonts w:ascii="Times New Roman" w:hAnsi="Times New Roman" w:cs="Times New Roman"/>
          <w:color w:val="000000" w:themeColor="text1"/>
          <w:sz w:val="28"/>
          <w:szCs w:val="28"/>
        </w:rPr>
        <w:t>ов составило 44,96 тыс. рублей или 100,0 процентов.</w:t>
      </w:r>
    </w:p>
    <w:p w:rsidR="00BC3BD8" w:rsidRPr="00842056" w:rsidRDefault="00BC3BD8" w:rsidP="00D96E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Анализ форм бюджетной отчетности осуществлялся в рамках порядка ее составления в соответствии с требованиями Инструкции </w:t>
      </w:r>
      <w:r w:rsidR="00987B55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№ 191н в отношении следующих форм:</w:t>
      </w:r>
    </w:p>
    <w:p w:rsidR="00BC3BD8" w:rsidRPr="00842056" w:rsidRDefault="00987B55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справки по заключению счетов бюджетного учет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а отчетного финансового года (форма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0503110);</w:t>
      </w:r>
    </w:p>
    <w:p w:rsidR="00BC3BD8" w:rsidRPr="00842056" w:rsidRDefault="00987B55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баланса главного распорядителя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, распорядителя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, получателя бюджетных средств, главного администратора, администратора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источников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фина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нсирования дефицита бюджета, главного администратора, администратора доходов бюджета (форма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0503130);</w:t>
      </w:r>
    </w:p>
    <w:p w:rsidR="00BC3BD8" w:rsidRPr="00842056" w:rsidRDefault="00987B55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отчета о финансо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вых результатах деятельности (форма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0503121);</w:t>
      </w:r>
    </w:p>
    <w:p w:rsidR="00BC3BD8" w:rsidRPr="00842056" w:rsidRDefault="00987B55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отчета об исполнении бюджета главного распорядителя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, распорядителя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, получателя бюджетных средств, главного администратора, администратора источников фин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ансирования дефицита бюджета</w:t>
      </w:r>
      <w:r w:rsidR="00A107DB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, главного администратора, администратора доходов бюджета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(форма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0503127);</w:t>
      </w:r>
    </w:p>
    <w:p w:rsidR="00BC3BD8" w:rsidRPr="00842056" w:rsidRDefault="00987B55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отчета о бюджет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ных обязательствах (форма</w:t>
      </w:r>
      <w:r w:rsidR="00855ABD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0503128)</w:t>
      </w:r>
      <w:r w:rsidR="00035D8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;</w:t>
      </w:r>
    </w:p>
    <w:p w:rsidR="00855ABD" w:rsidRPr="00842056" w:rsidRDefault="00987B55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- пояснительной записки (форма </w:t>
      </w:r>
      <w:r w:rsidR="00855ABD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0503160)</w:t>
      </w:r>
      <w:r w:rsidR="00A5088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.</w:t>
      </w:r>
    </w:p>
    <w:p w:rsidR="00BC3BD8" w:rsidRPr="00842056" w:rsidRDefault="00987B55" w:rsidP="00BC3B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Результаты анализа указанных форм бюджетной отчетности подтверждают их составление с соблюдением порядка, утвержденного Инструкцией № 191н и соответствие контрольных соотношений между показателями форм годовой бюджетной отчетности главного распорядителя бюджетных средств:</w:t>
      </w:r>
    </w:p>
    <w:p w:rsidR="00BC3BD8" w:rsidRPr="00842056" w:rsidRDefault="00A107DB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показател</w:t>
      </w:r>
      <w:r w:rsidR="00040652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и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отчета об исполнении бюджета (форма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0503127) </w:t>
      </w:r>
      <w:r w:rsidR="00040652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соответствуют</w:t>
      </w:r>
      <w:r w:rsidR="00035D8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040652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показателям</w:t>
      </w:r>
      <w:r w:rsidR="009C0093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данных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о расходах, отраженных в отчете о приня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тых бюджетных обязательствах (форма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0503128);</w:t>
      </w:r>
    </w:p>
    <w:p w:rsidR="00EA2814" w:rsidRPr="00842056" w:rsidRDefault="00A107DB" w:rsidP="00EA28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 </w:t>
      </w:r>
      <w:r w:rsidR="00EA2814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отчет о приня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тых бюджетных обязательствах (форма </w:t>
      </w:r>
      <w:r w:rsidR="00EA2814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0503128) не содержит принятые бюджетные обязательства сверх установленных бюджетных назначений;</w:t>
      </w:r>
    </w:p>
    <w:p w:rsidR="00BC3BD8" w:rsidRPr="00842056" w:rsidRDefault="00A107DB" w:rsidP="00BC3B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- выборочной проверкой соот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ветствия показателей баланса (форма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0503130), 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отчета об исполнении бюджета (форма 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0503127), 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справки по заключению счетов (форма</w:t>
      </w:r>
      <w:r w:rsidR="00BC3BD8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0503110) расхождений не установлено;</w:t>
      </w:r>
    </w:p>
    <w:p w:rsidR="00EA2814" w:rsidRDefault="00A107DB" w:rsidP="00EA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A2814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(форма </w:t>
      </w:r>
      <w:r w:rsidR="00EA2814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0503160) составлена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пункта </w:t>
      </w:r>
      <w:r w:rsidR="00EA2814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 Инструкции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A2814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191н.</w:t>
      </w:r>
    </w:p>
    <w:p w:rsidR="007E115C" w:rsidRDefault="007E115C" w:rsidP="00EA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B56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пункта 163 Инструкции № 191н в форме 0503164 «Сведения об исполнении бюджета» указаны коды доходов, по которым в результате исполнения бюджета на отчетную дату не имеется отклонений.</w:t>
      </w:r>
      <w:r w:rsidRPr="007E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9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графе 8 </w:t>
      </w:r>
      <w:r w:rsidRPr="007E115C">
        <w:rPr>
          <w:rFonts w:ascii="Times New Roman" w:hAnsi="Times New Roman" w:cs="Times New Roman"/>
          <w:color w:val="000000" w:themeColor="text1"/>
          <w:sz w:val="28"/>
          <w:szCs w:val="28"/>
        </w:rPr>
        <w:t>не указан</w:t>
      </w:r>
      <w:r w:rsidRPr="009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 причины отклонений по доходам, от доведенного планового проце</w:t>
      </w:r>
      <w:r w:rsidRPr="007E115C">
        <w:rPr>
          <w:rFonts w:ascii="Times New Roman" w:hAnsi="Times New Roman" w:cs="Times New Roman"/>
          <w:color w:val="000000" w:themeColor="text1"/>
          <w:sz w:val="28"/>
          <w:szCs w:val="28"/>
        </w:rPr>
        <w:t>нта исполнения на отчетную дату. В</w:t>
      </w:r>
      <w:r w:rsidRPr="009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графе 9 </w:t>
      </w:r>
      <w:hyperlink r:id="rId26" w:anchor="block_50316401" w:history="1">
        <w:r w:rsidRPr="007E11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</w:t>
        </w:r>
      </w:hyperlink>
      <w:r w:rsidRPr="009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"Доходы" </w:t>
      </w:r>
      <w:r w:rsidRPr="007E115C">
        <w:rPr>
          <w:rFonts w:ascii="Times New Roman" w:hAnsi="Times New Roman" w:cs="Times New Roman"/>
          <w:color w:val="000000" w:themeColor="text1"/>
          <w:sz w:val="28"/>
          <w:szCs w:val="28"/>
        </w:rPr>
        <w:t>не приведен</w:t>
      </w:r>
      <w:r w:rsidRPr="009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факторный анализ отклонения фактического исполнения доходов бюджета от прогноза поступлений доходов в бюджет, а также анализ исполнения доходов в части непрогнозируемых главным администратором доходов источников, кассовое исполнение по которым осуществлялось в отчетном году.</w:t>
      </w:r>
    </w:p>
    <w:p w:rsidR="00767FC5" w:rsidRPr="00842056" w:rsidRDefault="00423042" w:rsidP="00423042">
      <w:pPr>
        <w:tabs>
          <w:tab w:val="left" w:pos="709"/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января </w:t>
      </w:r>
      <w:r w:rsidR="00767FC5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20 года</w:t>
      </w:r>
      <w:r w:rsidR="00767FC5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балансовая стоимость основных средств состав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>ляла</w:t>
      </w:r>
      <w:r w:rsidR="0003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646 283,00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FC5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767FC5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материальных запасов – 94 483,12</w:t>
      </w:r>
      <w:r w:rsidR="00767FC5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767FC5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данным отчета «О движе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нии денежных средств» (форма 0503123) за 2020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труда 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но основных средств на сумму 193 378,00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м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атериальных запасов на сумму 302 325,58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Выбытие основных средств в 2020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в соответствии с данными отчета «Сведения о движении нефинан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совых активов» (форма 0503168), составило 87 378,00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блей, материальных запасов – 257 926,52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Таким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образом, по состоянию на 01января 2021 года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>, балансовая стоимос</w:t>
      </w:r>
      <w:r w:rsidR="00EE61EC">
        <w:rPr>
          <w:rFonts w:ascii="Times New Roman" w:hAnsi="Times New Roman" w:cs="Times New Roman"/>
          <w:color w:val="000000" w:themeColor="text1"/>
          <w:sz w:val="28"/>
          <w:szCs w:val="28"/>
        </w:rPr>
        <w:t>ть основных средств составила  752 283,00 рубля, материальных запасов 138 882,18 рубля</w:t>
      </w:r>
      <w:r w:rsidR="00540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FC5" w:rsidRPr="00842056" w:rsidRDefault="00767FC5" w:rsidP="00767FC5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Проверкой полноты закрытия счетов бюджетного учета нарушений не выявлено. Данные справки по заключению счетов бюджетного учет</w:t>
      </w:r>
      <w:r w:rsidR="006A6451">
        <w:rPr>
          <w:rFonts w:ascii="Times New Roman" w:hAnsi="Times New Roman" w:cs="Times New Roman"/>
          <w:color w:val="000000" w:themeColor="text1"/>
          <w:sz w:val="28"/>
          <w:szCs w:val="28"/>
        </w:rPr>
        <w:t>а отчетного финансового года (форма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0503110) в части заключительных записей по счету 1 401 20 соответствуют данным отчета «О финансов</w:t>
      </w:r>
      <w:r w:rsidR="006A6451">
        <w:rPr>
          <w:rFonts w:ascii="Times New Roman" w:hAnsi="Times New Roman" w:cs="Times New Roman"/>
          <w:color w:val="000000" w:themeColor="text1"/>
          <w:sz w:val="28"/>
          <w:szCs w:val="28"/>
        </w:rPr>
        <w:t>ых результатах деятельности» (форма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0503121) в части расходов и доходов.</w:t>
      </w:r>
    </w:p>
    <w:p w:rsidR="00E52412" w:rsidRDefault="00767FC5" w:rsidP="004B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Согласно Сведениям по дебиторской и кредиторской задолженности </w:t>
      </w:r>
      <w:r w:rsidR="009104D9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(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форма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0503169</w:t>
      </w:r>
      <w:r w:rsidR="009104D9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)</w:t>
      </w:r>
      <w:r w:rsidR="00035D8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по состоянию на 01января 2020 </w:t>
      </w:r>
      <w:r w:rsidR="00BD7367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г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ода</w:t>
      </w:r>
      <w:r w:rsidR="009104D9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кредиторская задолженность</w:t>
      </w:r>
      <w:r w:rsidR="00BD7367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составляла 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25,18 тыс.</w:t>
      </w:r>
      <w:r w:rsidR="00BD7367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рублей. П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о состоянию на 01 января 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20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21 года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кредиторская задолженность </w:t>
      </w:r>
      <w:r w:rsidR="00D20D77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У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правления труда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по обязательствам составила </w:t>
      </w:r>
      <w:r w:rsidR="006A645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10,24 тыс.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руб</w:t>
      </w:r>
      <w:r w:rsidR="00505955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лей</w:t>
      </w:r>
      <w:r w:rsidR="00907CC4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в части остатков межбюджетных трансфертов, которые подлежат возврату в бюджет.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E52412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</w:t>
      </w:r>
    </w:p>
    <w:p w:rsidR="007F23D8" w:rsidRDefault="00E52412" w:rsidP="004B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       </w:t>
      </w:r>
      <w:r w:rsidR="00767FC5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Дебиторская задолженность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по состоянию на 01 января 2020 года</w:t>
      </w:r>
      <w:r w:rsidR="00BD7367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составляла 509 306,88 тыс. рублей</w:t>
      </w:r>
      <w:r w:rsidR="00BD7367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. П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о состоянию на 01 января </w:t>
      </w:r>
      <w:r w:rsidR="00767FC5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21 года</w:t>
      </w:r>
      <w:r w:rsidR="00767FC5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BD7367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дебиторская задолженность </w:t>
      </w:r>
      <w:r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отсутствует. </w:t>
      </w:r>
    </w:p>
    <w:p w:rsidR="00767FC5" w:rsidRPr="00842056" w:rsidRDefault="00767FC5" w:rsidP="0090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Данные кредиторской</w:t>
      </w:r>
      <w:r w:rsidR="009C2916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и дебиторской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задолженности, отраженные в </w:t>
      </w:r>
      <w:r w:rsidR="00C675ED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балансе </w:t>
      </w:r>
      <w:r w:rsidR="009104D9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(</w:t>
      </w:r>
      <w:r w:rsidR="003114E3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форма 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0503130</w:t>
      </w:r>
      <w:r w:rsidR="009104D9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)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соответствуют показателям, указанным в  Сведениях по дебиторской </w:t>
      </w:r>
      <w:r w:rsidR="003114E3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и кредиторской задолженности (форма 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0503169).</w:t>
      </w:r>
      <w:r w:rsidR="009104D9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</w:p>
    <w:p w:rsidR="00767FC5" w:rsidRPr="00842056" w:rsidRDefault="00767FC5" w:rsidP="003916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предоставленн</w:t>
      </w:r>
      <w:r w:rsidR="001B2B5A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ому балансу</w:t>
      </w:r>
      <w:r w:rsidR="00CA6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(форма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05031</w:t>
      </w:r>
      <w:r w:rsidR="003916E4"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) на счетах получателя бюджетных средств п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о </w:t>
      </w:r>
      <w:r w:rsidR="00CA6A3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состоянию на 01 января 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20</w:t>
      </w:r>
      <w:r w:rsidR="00CA6A3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21 года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остаток денежных средств на счетах</w:t>
      </w:r>
      <w:r w:rsidR="003916E4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учреждения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в </w:t>
      </w:r>
      <w:r w:rsidR="003916E4"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органе казначейства</w:t>
      </w:r>
      <w:r w:rsidRPr="0084205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отсутствует.</w:t>
      </w:r>
    </w:p>
    <w:p w:rsidR="00515AA1" w:rsidRPr="00842056" w:rsidRDefault="00515AA1" w:rsidP="003916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внешней проверки годового отчета по вопросу полноты и достоверности данных, их соответствия требованиям законодательства нарушений не установлено.</w:t>
      </w:r>
    </w:p>
    <w:p w:rsidR="00264E01" w:rsidRDefault="00CC7205" w:rsidP="00264E01">
      <w:pPr>
        <w:pStyle w:val="a3"/>
        <w:shd w:val="clear" w:color="auto" w:fill="FFFFFF"/>
        <w:spacing w:line="330" w:lineRule="atLeast"/>
        <w:jc w:val="center"/>
        <w:rPr>
          <w:rStyle w:val="ae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264E01" w:rsidRPr="00842056">
        <w:rPr>
          <w:b/>
          <w:color w:val="000000" w:themeColor="text1"/>
          <w:sz w:val="28"/>
          <w:szCs w:val="28"/>
        </w:rPr>
        <w:t>. Прочие вопросы деятельности</w:t>
      </w:r>
      <w:r w:rsidR="003E490D">
        <w:rPr>
          <w:b/>
          <w:color w:val="000000" w:themeColor="text1"/>
          <w:sz w:val="28"/>
          <w:szCs w:val="28"/>
        </w:rPr>
        <w:t xml:space="preserve"> </w:t>
      </w:r>
      <w:r w:rsidR="00264E01" w:rsidRPr="00842056">
        <w:rPr>
          <w:rStyle w:val="ae"/>
          <w:color w:val="000000" w:themeColor="text1"/>
          <w:sz w:val="28"/>
          <w:szCs w:val="28"/>
        </w:rPr>
        <w:t>главного администратора бюджетных средств</w:t>
      </w:r>
    </w:p>
    <w:p w:rsidR="00CC7205" w:rsidRPr="00842056" w:rsidRDefault="00CC7205" w:rsidP="00CC72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42056">
        <w:rPr>
          <w:bCs/>
          <w:color w:val="000000" w:themeColor="text1"/>
          <w:sz w:val="28"/>
          <w:szCs w:val="28"/>
        </w:rPr>
        <w:lastRenderedPageBreak/>
        <w:t>Ведение бюджетного учета, формирование и предоставление месячной, квартальной и годовой бюджетной отчетности</w:t>
      </w:r>
      <w:r>
        <w:rPr>
          <w:bCs/>
          <w:color w:val="000000" w:themeColor="text1"/>
          <w:sz w:val="28"/>
          <w:szCs w:val="28"/>
        </w:rPr>
        <w:t xml:space="preserve"> Управления труда</w:t>
      </w:r>
      <w:r w:rsidRPr="00842056">
        <w:rPr>
          <w:bCs/>
          <w:color w:val="000000" w:themeColor="text1"/>
          <w:sz w:val="28"/>
          <w:szCs w:val="28"/>
        </w:rPr>
        <w:t xml:space="preserve"> осуществляется</w:t>
      </w:r>
      <w:r w:rsidR="00246824">
        <w:rPr>
          <w:bCs/>
          <w:color w:val="000000" w:themeColor="text1"/>
          <w:sz w:val="28"/>
          <w:szCs w:val="28"/>
        </w:rPr>
        <w:t xml:space="preserve"> в соответствии с Учетной политикой, утвержденной приказом начальника Управления труда от 29 декабря 2017 года № 75а (с </w:t>
      </w:r>
      <w:proofErr w:type="gramStart"/>
      <w:r w:rsidR="00246824">
        <w:rPr>
          <w:bCs/>
          <w:color w:val="000000" w:themeColor="text1"/>
          <w:sz w:val="28"/>
          <w:szCs w:val="28"/>
        </w:rPr>
        <w:t>изменениями,  внесенными</w:t>
      </w:r>
      <w:proofErr w:type="gramEnd"/>
      <w:r w:rsidR="00246824">
        <w:rPr>
          <w:bCs/>
          <w:color w:val="000000" w:themeColor="text1"/>
          <w:sz w:val="28"/>
          <w:szCs w:val="28"/>
        </w:rPr>
        <w:t xml:space="preserve"> 29 декабря 2018 года № 75-о/д, от 25 декабря 2019 года № 85-о/д)</w:t>
      </w:r>
      <w:r w:rsidRPr="0084205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отделом назначения социальных выплат, бухгалтерского учета и отчетности.</w:t>
      </w:r>
    </w:p>
    <w:p w:rsidR="00862B0F" w:rsidRPr="00CB0EB0" w:rsidRDefault="00CC7205" w:rsidP="007E115C">
      <w:pPr>
        <w:pStyle w:val="a3"/>
        <w:shd w:val="clear" w:color="auto" w:fill="FFFFFF"/>
        <w:spacing w:before="0" w:beforeAutospacing="0" w:after="0" w:afterAutospacing="0"/>
        <w:jc w:val="both"/>
        <w:rPr>
          <w:rStyle w:val="ae"/>
          <w:b w:val="0"/>
          <w:color w:val="000000" w:themeColor="text1"/>
          <w:sz w:val="28"/>
          <w:szCs w:val="28"/>
        </w:rPr>
      </w:pPr>
      <w:r w:rsidRPr="00CB0EB0">
        <w:rPr>
          <w:rStyle w:val="ae"/>
          <w:color w:val="000000" w:themeColor="text1"/>
          <w:sz w:val="28"/>
          <w:szCs w:val="28"/>
        </w:rPr>
        <w:t xml:space="preserve">       </w:t>
      </w:r>
      <w:r w:rsidR="00862B0F" w:rsidRPr="00CB0EB0">
        <w:rPr>
          <w:color w:val="000000" w:themeColor="text1"/>
          <w:sz w:val="28"/>
          <w:szCs w:val="28"/>
        </w:rPr>
        <w:t xml:space="preserve">Бухгалтерский учет </w:t>
      </w:r>
      <w:r w:rsidR="00B433E0" w:rsidRPr="00CB0EB0">
        <w:rPr>
          <w:color w:val="000000" w:themeColor="text1"/>
          <w:sz w:val="28"/>
          <w:szCs w:val="28"/>
        </w:rPr>
        <w:t>Управления труда осуществляется в соответствии</w:t>
      </w:r>
      <w:r w:rsidR="00F36CE0" w:rsidRPr="00CB0EB0">
        <w:rPr>
          <w:color w:val="000000" w:themeColor="text1"/>
          <w:sz w:val="28"/>
          <w:szCs w:val="28"/>
        </w:rPr>
        <w:t xml:space="preserve"> </w:t>
      </w:r>
      <w:r w:rsidR="00B433E0" w:rsidRPr="00CB0EB0">
        <w:rPr>
          <w:color w:val="000000" w:themeColor="text1"/>
          <w:sz w:val="28"/>
          <w:szCs w:val="28"/>
        </w:rPr>
        <w:t>с БК РФ</w:t>
      </w:r>
      <w:r w:rsidR="00F36CE0" w:rsidRPr="00CB0EB0">
        <w:rPr>
          <w:color w:val="000000" w:themeColor="text1"/>
          <w:sz w:val="28"/>
          <w:szCs w:val="28"/>
        </w:rPr>
        <w:t>,</w:t>
      </w:r>
      <w:r w:rsidR="00035D86" w:rsidRPr="00CB0EB0">
        <w:rPr>
          <w:color w:val="000000" w:themeColor="text1"/>
          <w:sz w:val="28"/>
          <w:szCs w:val="28"/>
        </w:rPr>
        <w:t xml:space="preserve"> </w:t>
      </w:r>
      <w:r w:rsidR="00B433E0" w:rsidRPr="00CB0EB0">
        <w:rPr>
          <w:color w:val="000000" w:themeColor="text1"/>
          <w:sz w:val="28"/>
          <w:szCs w:val="28"/>
        </w:rPr>
        <w:t>Приказом</w:t>
      </w:r>
      <w:r w:rsidR="00F36CE0" w:rsidRPr="00CB0EB0">
        <w:rPr>
          <w:color w:val="000000" w:themeColor="text1"/>
          <w:sz w:val="28"/>
          <w:szCs w:val="28"/>
        </w:rPr>
        <w:t xml:space="preserve"> Минфина России от 01.12.2010</w:t>
      </w:r>
      <w:r w:rsidR="006E7167" w:rsidRPr="00CB0EB0">
        <w:rPr>
          <w:color w:val="000000" w:themeColor="text1"/>
          <w:sz w:val="28"/>
          <w:szCs w:val="28"/>
        </w:rPr>
        <w:t>г.</w:t>
      </w:r>
      <w:r w:rsidR="00035D86" w:rsidRPr="00CB0EB0">
        <w:rPr>
          <w:color w:val="000000" w:themeColor="text1"/>
          <w:sz w:val="28"/>
          <w:szCs w:val="28"/>
        </w:rPr>
        <w:t xml:space="preserve"> </w:t>
      </w:r>
      <w:r w:rsidR="006E7167" w:rsidRPr="00CB0EB0">
        <w:rPr>
          <w:color w:val="000000" w:themeColor="text1"/>
          <w:sz w:val="28"/>
          <w:szCs w:val="28"/>
        </w:rPr>
        <w:t>№</w:t>
      </w:r>
      <w:r w:rsidR="00F36CE0" w:rsidRPr="00CB0EB0">
        <w:rPr>
          <w:color w:val="000000" w:themeColor="text1"/>
          <w:sz w:val="28"/>
          <w:szCs w:val="28"/>
        </w:rPr>
        <w:t xml:space="preserve">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862B0F" w:rsidRPr="00CB0EB0">
        <w:rPr>
          <w:color w:val="000000" w:themeColor="text1"/>
          <w:sz w:val="28"/>
          <w:szCs w:val="28"/>
        </w:rPr>
        <w:t xml:space="preserve">, </w:t>
      </w:r>
      <w:r w:rsidR="00B433E0" w:rsidRPr="00CB0EB0">
        <w:rPr>
          <w:color w:val="000000" w:themeColor="text1"/>
          <w:sz w:val="28"/>
          <w:szCs w:val="28"/>
        </w:rPr>
        <w:t>Приказом</w:t>
      </w:r>
      <w:r w:rsidR="006E7167" w:rsidRPr="00CB0EB0">
        <w:rPr>
          <w:color w:val="000000" w:themeColor="text1"/>
          <w:sz w:val="28"/>
          <w:szCs w:val="28"/>
        </w:rPr>
        <w:t xml:space="preserve"> Минфина России от 06.12.2010г.</w:t>
      </w:r>
      <w:r w:rsidR="00035D86" w:rsidRPr="00CB0EB0">
        <w:rPr>
          <w:color w:val="000000" w:themeColor="text1"/>
          <w:sz w:val="28"/>
          <w:szCs w:val="28"/>
        </w:rPr>
        <w:t xml:space="preserve"> </w:t>
      </w:r>
      <w:r w:rsidR="006E7167" w:rsidRPr="00CB0EB0">
        <w:rPr>
          <w:color w:val="000000" w:themeColor="text1"/>
          <w:sz w:val="28"/>
          <w:szCs w:val="28"/>
        </w:rPr>
        <w:t>№ 162н "Об утверждении</w:t>
      </w:r>
      <w:r w:rsidR="00035D86" w:rsidRPr="00CB0EB0">
        <w:rPr>
          <w:color w:val="000000" w:themeColor="text1"/>
          <w:sz w:val="28"/>
          <w:szCs w:val="28"/>
        </w:rPr>
        <w:t xml:space="preserve"> </w:t>
      </w:r>
      <w:r w:rsidR="006E7167" w:rsidRPr="00CB0EB0">
        <w:rPr>
          <w:color w:val="000000" w:themeColor="text1"/>
          <w:sz w:val="28"/>
          <w:szCs w:val="28"/>
        </w:rPr>
        <w:t>Плана счетов бюджетного учета и Инструкции по его применению", Приказа Минфина России от 30.03.2015г.№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Приказа Минфина России от 08.06.2018</w:t>
      </w:r>
      <w:r w:rsidR="001B13D9" w:rsidRPr="00CB0EB0">
        <w:rPr>
          <w:color w:val="000000" w:themeColor="text1"/>
          <w:sz w:val="28"/>
          <w:szCs w:val="28"/>
        </w:rPr>
        <w:t xml:space="preserve"> </w:t>
      </w:r>
      <w:r w:rsidR="006E7167" w:rsidRPr="00CB0EB0">
        <w:rPr>
          <w:color w:val="000000" w:themeColor="text1"/>
          <w:sz w:val="28"/>
          <w:szCs w:val="28"/>
        </w:rPr>
        <w:t>г.</w:t>
      </w:r>
      <w:r w:rsidR="001B13D9" w:rsidRPr="00CB0EB0">
        <w:rPr>
          <w:color w:val="000000" w:themeColor="text1"/>
          <w:sz w:val="28"/>
          <w:szCs w:val="28"/>
        </w:rPr>
        <w:t xml:space="preserve">       № </w:t>
      </w:r>
      <w:r w:rsidR="006E7167" w:rsidRPr="00CB0EB0">
        <w:rPr>
          <w:color w:val="000000" w:themeColor="text1"/>
          <w:sz w:val="28"/>
          <w:szCs w:val="28"/>
        </w:rPr>
        <w:t>132</w:t>
      </w:r>
      <w:proofErr w:type="gramStart"/>
      <w:r w:rsidR="006E7167" w:rsidRPr="00CB0EB0">
        <w:rPr>
          <w:color w:val="000000" w:themeColor="text1"/>
          <w:sz w:val="28"/>
          <w:szCs w:val="28"/>
        </w:rPr>
        <w:t>н  "</w:t>
      </w:r>
      <w:proofErr w:type="gramEnd"/>
      <w:r w:rsidR="006E7167" w:rsidRPr="00CB0EB0">
        <w:rPr>
          <w:color w:val="000000" w:themeColor="text1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назначения",</w:t>
      </w:r>
      <w:r w:rsidR="00035D86" w:rsidRPr="00CB0EB0">
        <w:rPr>
          <w:color w:val="000000" w:themeColor="text1"/>
          <w:sz w:val="28"/>
          <w:szCs w:val="28"/>
        </w:rPr>
        <w:t xml:space="preserve"> </w:t>
      </w:r>
      <w:r w:rsidR="00102864" w:rsidRPr="00CB0EB0">
        <w:rPr>
          <w:color w:val="000000" w:themeColor="text1"/>
          <w:sz w:val="28"/>
          <w:szCs w:val="28"/>
        </w:rPr>
        <w:t>Приказ</w:t>
      </w:r>
      <w:r w:rsidR="00B433E0" w:rsidRPr="00CB0EB0">
        <w:rPr>
          <w:color w:val="000000" w:themeColor="text1"/>
          <w:sz w:val="28"/>
          <w:szCs w:val="28"/>
        </w:rPr>
        <w:t>а</w:t>
      </w:r>
      <w:r w:rsidR="00102864" w:rsidRPr="00CB0EB0">
        <w:rPr>
          <w:color w:val="000000" w:themeColor="text1"/>
          <w:sz w:val="28"/>
          <w:szCs w:val="28"/>
        </w:rPr>
        <w:t xml:space="preserve"> Минфина России от 06.06.2019</w:t>
      </w:r>
      <w:r w:rsidR="001B13D9" w:rsidRPr="00CB0EB0">
        <w:rPr>
          <w:color w:val="000000" w:themeColor="text1"/>
          <w:sz w:val="28"/>
          <w:szCs w:val="28"/>
        </w:rPr>
        <w:t xml:space="preserve"> </w:t>
      </w:r>
      <w:r w:rsidR="00102864" w:rsidRPr="00CB0EB0">
        <w:rPr>
          <w:color w:val="000000" w:themeColor="text1"/>
          <w:sz w:val="28"/>
          <w:szCs w:val="28"/>
        </w:rPr>
        <w:t>г.№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862B0F" w:rsidRPr="00CB0EB0">
        <w:rPr>
          <w:color w:val="000000" w:themeColor="text1"/>
          <w:sz w:val="28"/>
          <w:szCs w:val="28"/>
        </w:rPr>
        <w:t>.</w:t>
      </w:r>
      <w:r w:rsidR="00862B0F" w:rsidRPr="00CB0EB0">
        <w:rPr>
          <w:rStyle w:val="ae"/>
          <w:b w:val="0"/>
          <w:color w:val="000000" w:themeColor="text1"/>
          <w:sz w:val="28"/>
          <w:szCs w:val="28"/>
        </w:rPr>
        <w:t xml:space="preserve"> В рамках реализации положений</w:t>
      </w:r>
      <w:r w:rsidR="00273163" w:rsidRPr="00CB0EB0">
        <w:rPr>
          <w:rStyle w:val="ae"/>
          <w:b w:val="0"/>
          <w:color w:val="000000" w:themeColor="text1"/>
          <w:sz w:val="28"/>
          <w:szCs w:val="28"/>
        </w:rPr>
        <w:t xml:space="preserve"> З</w:t>
      </w:r>
      <w:r w:rsidR="00862B0F" w:rsidRPr="00CB0EB0">
        <w:rPr>
          <w:rStyle w:val="ae"/>
          <w:b w:val="0"/>
          <w:color w:val="000000" w:themeColor="text1"/>
          <w:sz w:val="28"/>
          <w:szCs w:val="28"/>
        </w:rPr>
        <w:t>акона № 402-ФЗ бухгалтерский учет ведется с применением федеральных стандартов бухгалтерского учета для органи</w:t>
      </w:r>
      <w:r w:rsidR="00107D7A">
        <w:rPr>
          <w:rStyle w:val="ae"/>
          <w:b w:val="0"/>
          <w:color w:val="000000" w:themeColor="text1"/>
          <w:sz w:val="28"/>
          <w:szCs w:val="28"/>
        </w:rPr>
        <w:t>зации государственного сектора.</w:t>
      </w:r>
    </w:p>
    <w:p w:rsidR="00822A53" w:rsidRPr="00842056" w:rsidRDefault="00822A53" w:rsidP="0082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бованиями статьи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Закона № 402-ФЗ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труда </w:t>
      </w:r>
      <w:r w:rsidRPr="00842056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сопоставления фактического наличия имущества с данными бухгалтерского учета, проверки полноты отражения в учете обязательств и обеспечения достоверных данных бухгалтерского учета, перед составлением годовой бухгалтерской отчетности проведена инвентаризация активов и обязательств, в результате которой излишки и недостачи не обнаружены.</w:t>
      </w:r>
    </w:p>
    <w:p w:rsidR="00464C18" w:rsidRDefault="00464C18" w:rsidP="00464C18">
      <w:pPr>
        <w:pStyle w:val="a3"/>
        <w:shd w:val="clear" w:color="auto" w:fill="FFFFFF"/>
        <w:spacing w:before="0" w:beforeAutospacing="0" w:after="0" w:afterAutospacing="0"/>
        <w:jc w:val="both"/>
        <w:rPr>
          <w:rStyle w:val="ae"/>
          <w:b w:val="0"/>
          <w:color w:val="FF0000"/>
          <w:sz w:val="28"/>
          <w:szCs w:val="28"/>
        </w:rPr>
      </w:pPr>
    </w:p>
    <w:p w:rsidR="00AA5866" w:rsidRPr="00842056" w:rsidRDefault="00A70021" w:rsidP="00464C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 w:themeColor="text1"/>
          <w:sz w:val="28"/>
          <w:szCs w:val="28"/>
        </w:rPr>
      </w:pPr>
      <w:r w:rsidRPr="00842056">
        <w:rPr>
          <w:b/>
          <w:bCs/>
          <w:color w:val="000000" w:themeColor="text1"/>
          <w:sz w:val="28"/>
          <w:szCs w:val="28"/>
        </w:rPr>
        <w:t>Выводы и рекомендации</w:t>
      </w:r>
      <w:r w:rsidR="009825CB">
        <w:rPr>
          <w:b/>
          <w:bCs/>
          <w:color w:val="000000" w:themeColor="text1"/>
          <w:sz w:val="28"/>
          <w:szCs w:val="28"/>
        </w:rPr>
        <w:t xml:space="preserve"> </w:t>
      </w:r>
      <w:r w:rsidR="009825CB">
        <w:rPr>
          <w:b/>
          <w:color w:val="000000" w:themeColor="text1"/>
          <w:sz w:val="28"/>
          <w:szCs w:val="28"/>
        </w:rPr>
        <w:t xml:space="preserve">Контрольно-счетного органа </w:t>
      </w:r>
      <w:proofErr w:type="spellStart"/>
      <w:r w:rsidR="009825CB">
        <w:rPr>
          <w:b/>
          <w:color w:val="000000" w:themeColor="text1"/>
          <w:sz w:val="28"/>
          <w:szCs w:val="28"/>
        </w:rPr>
        <w:t>Степн</w:t>
      </w:r>
      <w:r w:rsidR="00AA5866" w:rsidRPr="00842056">
        <w:rPr>
          <w:b/>
          <w:color w:val="000000" w:themeColor="text1"/>
          <w:sz w:val="28"/>
          <w:szCs w:val="28"/>
        </w:rPr>
        <w:t>овского</w:t>
      </w:r>
      <w:proofErr w:type="spellEnd"/>
      <w:r w:rsidR="00AA5866" w:rsidRPr="00842056">
        <w:rPr>
          <w:b/>
          <w:color w:val="000000" w:themeColor="text1"/>
          <w:sz w:val="28"/>
          <w:szCs w:val="28"/>
        </w:rPr>
        <w:t xml:space="preserve"> </w:t>
      </w:r>
      <w:r w:rsidR="009825CB">
        <w:rPr>
          <w:b/>
          <w:color w:val="000000" w:themeColor="text1"/>
          <w:sz w:val="28"/>
          <w:szCs w:val="28"/>
        </w:rPr>
        <w:t>муниципальн</w:t>
      </w:r>
      <w:r w:rsidR="009C1B6C" w:rsidRPr="00842056">
        <w:rPr>
          <w:b/>
          <w:color w:val="000000" w:themeColor="text1"/>
          <w:sz w:val="28"/>
          <w:szCs w:val="28"/>
        </w:rPr>
        <w:t>ого округа</w:t>
      </w:r>
      <w:r w:rsidR="00AA5866" w:rsidRPr="00842056">
        <w:rPr>
          <w:b/>
          <w:color w:val="000000" w:themeColor="text1"/>
          <w:sz w:val="28"/>
          <w:szCs w:val="28"/>
        </w:rPr>
        <w:t xml:space="preserve"> Ставропольского края</w:t>
      </w:r>
      <w:r w:rsidR="009825CB">
        <w:rPr>
          <w:b/>
          <w:color w:val="000000" w:themeColor="text1"/>
          <w:sz w:val="28"/>
          <w:szCs w:val="28"/>
        </w:rPr>
        <w:t xml:space="preserve"> </w:t>
      </w:r>
      <w:r w:rsidR="000E2EAC" w:rsidRPr="00842056">
        <w:rPr>
          <w:b/>
          <w:bCs/>
          <w:color w:val="000000" w:themeColor="text1"/>
          <w:sz w:val="28"/>
          <w:szCs w:val="28"/>
        </w:rPr>
        <w:t xml:space="preserve">по результатам проведения </w:t>
      </w:r>
      <w:r w:rsidR="00D97FF0" w:rsidRPr="00842056">
        <w:rPr>
          <w:b/>
          <w:bCs/>
          <w:color w:val="000000" w:themeColor="text1"/>
          <w:sz w:val="28"/>
          <w:szCs w:val="28"/>
        </w:rPr>
        <w:t>экспертно-аналитического</w:t>
      </w:r>
      <w:r w:rsidR="000E2EAC" w:rsidRPr="00842056">
        <w:rPr>
          <w:b/>
          <w:bCs/>
          <w:color w:val="000000" w:themeColor="text1"/>
          <w:sz w:val="28"/>
          <w:szCs w:val="28"/>
        </w:rPr>
        <w:t xml:space="preserve"> мероприятия:</w:t>
      </w:r>
    </w:p>
    <w:p w:rsidR="005F5A3F" w:rsidRPr="00842056" w:rsidRDefault="005F5A3F" w:rsidP="007F01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b/>
          <w:color w:val="000000" w:themeColor="text1"/>
          <w:sz w:val="28"/>
          <w:szCs w:val="28"/>
        </w:rPr>
      </w:pPr>
    </w:p>
    <w:p w:rsidR="00CC06A1" w:rsidRPr="00842056" w:rsidRDefault="00415183" w:rsidP="00C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Годовая отчетность представлена </w:t>
      </w:r>
      <w:r w:rsidR="0098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Управлением труда в Контрольно-счетный орган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подготовки заключения в срок</w:t>
      </w:r>
      <w:r w:rsidR="009C2916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1004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установленный статьей</w:t>
      </w:r>
      <w:r w:rsidR="0098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004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="009C2916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Поло</w:t>
      </w:r>
      <w:r w:rsidR="00E40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жения о бюджетном процессе.</w:t>
      </w:r>
    </w:p>
    <w:p w:rsidR="00EA2814" w:rsidRPr="00842056" w:rsidRDefault="00415183" w:rsidP="00E4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Годовая бюджетная отчетность </w:t>
      </w:r>
      <w:r w:rsidR="004230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Управлением труда</w:t>
      </w:r>
      <w:r w:rsidR="00E957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сформирована в составе ф</w:t>
      </w:r>
      <w:r w:rsidR="004230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орм отчетности, определенном статьей 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264.1 БК РФ и пунктом 11.1 Инструкции №191н. </w:t>
      </w:r>
    </w:p>
    <w:p w:rsidR="00E4073A" w:rsidRPr="00842056" w:rsidRDefault="00415183" w:rsidP="00E4073A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4230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 соответствии с пунктом </w:t>
      </w:r>
      <w:r w:rsidR="00EA2814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Инструкции </w:t>
      </w:r>
      <w:r w:rsidR="004230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EA2814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191н о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тчетность составлена нарастающим итогом с начала года в рублях с точностью до второго десятичного знака после запятой и подписана</w:t>
      </w:r>
      <w:r w:rsidR="00F900B3" w:rsidRPr="00F900B3">
        <w:rPr>
          <w:rFonts w:ascii="Times New Roman" w:hAnsi="Times New Roman" w:cs="Times New Roman"/>
          <w:sz w:val="28"/>
          <w:szCs w:val="28"/>
        </w:rPr>
        <w:t xml:space="preserve"> </w:t>
      </w:r>
      <w:r w:rsidR="00F900B3">
        <w:rPr>
          <w:rFonts w:ascii="Times New Roman" w:hAnsi="Times New Roman" w:cs="Times New Roman"/>
          <w:sz w:val="28"/>
          <w:szCs w:val="28"/>
        </w:rPr>
        <w:t>начальником Управления труда и начальником отдела – главного бухгалтера.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C06A1" w:rsidRPr="00842056" w:rsidRDefault="00415183" w:rsidP="00C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EA2814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Представленная для внешней проверки годовая бюджетная отчетность </w:t>
      </w:r>
      <w:r w:rsidR="009C2916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позволяет проанализировать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финансовое положение </w:t>
      </w:r>
      <w:r w:rsidR="00F90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Управления труда</w:t>
      </w:r>
      <w:r w:rsidR="005062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2916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состоянию 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F90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января 20</w:t>
      </w:r>
      <w:r w:rsidR="00F90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и результаты его финансово-хозяйственной</w:t>
      </w:r>
      <w:r w:rsidR="00F90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деятельности за период с 01 января 2020 года по 31 декабря 2020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включительно, в соответствии с требованиями законодательства Российской Федерации, применимого в части подготовки годовой бюджетной отчетности.</w:t>
      </w:r>
    </w:p>
    <w:p w:rsidR="00CC06A1" w:rsidRPr="00842056" w:rsidRDefault="00415183" w:rsidP="00C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EA2814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E957AB" w:rsidRPr="00E957AB">
        <w:rPr>
          <w:rFonts w:ascii="Times New Roman" w:hAnsi="Times New Roman" w:cs="Times New Roman"/>
          <w:sz w:val="28"/>
          <w:szCs w:val="28"/>
        </w:rPr>
        <w:t xml:space="preserve">Исполнение по доходам </w:t>
      </w:r>
      <w:r w:rsidR="00F900B3">
        <w:rPr>
          <w:rStyle w:val="fontstyle01"/>
          <w:rFonts w:ascii="Times New Roman" w:hAnsi="Times New Roman" w:cs="Times New Roman"/>
          <w:sz w:val="28"/>
          <w:szCs w:val="28"/>
        </w:rPr>
        <w:t xml:space="preserve">Управлением труда </w:t>
      </w:r>
      <w:r w:rsidR="00E957AB" w:rsidRPr="00E957A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900B3">
        <w:rPr>
          <w:rStyle w:val="fontstyle01"/>
          <w:rFonts w:ascii="Times New Roman" w:hAnsi="Times New Roman" w:cs="Times New Roman"/>
          <w:sz w:val="28"/>
          <w:szCs w:val="28"/>
        </w:rPr>
        <w:t>в 2020</w:t>
      </w:r>
      <w:r w:rsidR="00E957AB">
        <w:rPr>
          <w:rStyle w:val="fontstyle01"/>
          <w:rFonts w:ascii="Times New Roman" w:hAnsi="Times New Roman" w:cs="Times New Roman"/>
          <w:sz w:val="28"/>
          <w:szCs w:val="28"/>
        </w:rPr>
        <w:t xml:space="preserve"> году </w:t>
      </w:r>
      <w:r w:rsidR="00E957AB" w:rsidRPr="00E957AB">
        <w:rPr>
          <w:rStyle w:val="fontstyle01"/>
          <w:rFonts w:ascii="Times New Roman" w:hAnsi="Times New Roman" w:cs="Times New Roman"/>
          <w:sz w:val="28"/>
          <w:szCs w:val="28"/>
        </w:rPr>
        <w:t xml:space="preserve">составило </w:t>
      </w:r>
      <w:r w:rsidR="00BF69A1">
        <w:rPr>
          <w:rStyle w:val="fontstyle01"/>
          <w:rFonts w:ascii="Times New Roman" w:hAnsi="Times New Roman" w:cs="Times New Roman"/>
          <w:sz w:val="28"/>
          <w:szCs w:val="28"/>
        </w:rPr>
        <w:t xml:space="preserve">242 549,74 тыс. </w:t>
      </w:r>
      <w:r w:rsidR="00E957AB" w:rsidRPr="00E957AB">
        <w:rPr>
          <w:rStyle w:val="fontstyle01"/>
          <w:rFonts w:ascii="Times New Roman" w:hAnsi="Times New Roman" w:cs="Times New Roman"/>
          <w:sz w:val="28"/>
          <w:szCs w:val="28"/>
        </w:rPr>
        <w:t xml:space="preserve">рублей или </w:t>
      </w:r>
      <w:r w:rsidR="00BF69A1">
        <w:rPr>
          <w:rStyle w:val="fontstyle01"/>
          <w:rFonts w:ascii="Times New Roman" w:hAnsi="Times New Roman" w:cs="Times New Roman"/>
          <w:sz w:val="28"/>
          <w:szCs w:val="28"/>
        </w:rPr>
        <w:t>97,2 процента</w:t>
      </w:r>
      <w:r w:rsidR="00E957AB" w:rsidRPr="00E957AB">
        <w:rPr>
          <w:rStyle w:val="fontstyle01"/>
          <w:rFonts w:ascii="Times New Roman" w:hAnsi="Times New Roman" w:cs="Times New Roman"/>
          <w:sz w:val="28"/>
          <w:szCs w:val="28"/>
        </w:rPr>
        <w:t xml:space="preserve"> от уточненного плана.</w:t>
      </w:r>
      <w:r w:rsidR="005062F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Кас</w:t>
      </w:r>
      <w:r w:rsidR="00BF6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совое исполнение расходов за 2020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составило </w:t>
      </w:r>
      <w:r w:rsidR="00BF6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242 639,55 тыс. 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рублей или </w:t>
      </w:r>
      <w:r w:rsidR="00BF6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99,8 процента</w:t>
      </w:r>
      <w:r w:rsidR="00CC06A1"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утвержденным лимитам бюджетных обязательств. Расходование средств осуществлялось в пределах лимитов, утвержденных бюджетной росписью.</w:t>
      </w:r>
    </w:p>
    <w:p w:rsidR="00997DE7" w:rsidRDefault="00CC06A1" w:rsidP="00997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56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> </w:t>
      </w:r>
      <w:r w:rsidR="00415183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 xml:space="preserve">    </w:t>
      </w:r>
      <w:r w:rsidR="00997DE7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>6.</w:t>
      </w:r>
      <w:r w:rsidR="00415183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997DE7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>Бюджетная отчетность составлена в соответствии со  структурой и кодами бюджетной классификации, которые прим</w:t>
      </w:r>
      <w:r w:rsidR="002A4549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 xml:space="preserve">енялись при утверждении  решения Совета </w:t>
      </w:r>
      <w:proofErr w:type="spellStart"/>
      <w:r w:rsidR="002A4549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2A4549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 от 12 декабря 2019  года №18/82-</w:t>
      </w:r>
      <w:r w:rsidR="002A4549">
        <w:rPr>
          <w:rFonts w:ascii="Roboto" w:eastAsia="Times New Roman" w:hAnsi="Roboto" w:cs="Arial"/>
          <w:bCs/>
          <w:color w:val="000000" w:themeColor="text1"/>
          <w:sz w:val="28"/>
          <w:szCs w:val="28"/>
          <w:lang w:val="en-US" w:eastAsia="ru-RU"/>
        </w:rPr>
        <w:t>IV</w:t>
      </w:r>
      <w:r w:rsidR="00997DE7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бюджете </w:t>
      </w:r>
      <w:proofErr w:type="spellStart"/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>Степновского</w:t>
      </w:r>
      <w:proofErr w:type="spellEnd"/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Ставропольского края  на 2020 год и плановый период 2021 и 2022</w:t>
      </w:r>
      <w:r w:rsidR="0099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(с изменениями внесенными р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ешениями Совета </w:t>
      </w:r>
      <w:proofErr w:type="spellStart"/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>Степновского</w:t>
      </w:r>
      <w:proofErr w:type="spellEnd"/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Ставропольского края от 15 января 2020 года  №20/96-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2A4549" w:rsidRP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="002A4549" w:rsidRPr="002A454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22/106-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2A4549">
        <w:rPr>
          <w:rFonts w:ascii="Times New Roman" w:hAnsi="Times New Roman" w:cs="Times New Roman"/>
          <w:color w:val="000000" w:themeColor="text1"/>
          <w:sz w:val="28"/>
          <w:szCs w:val="28"/>
        </w:rPr>
        <w:t>, от 08 апреля 2020 года</w:t>
      </w:r>
      <w:r w:rsidR="0005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23/115-</w:t>
      </w:r>
      <w:r w:rsidR="000559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5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мая 2020 года </w:t>
      </w:r>
      <w:r w:rsidR="00997D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5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23/129-</w:t>
      </w:r>
      <w:r w:rsidR="000559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5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36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июня 2020 года № 23/132-</w:t>
      </w:r>
      <w:r w:rsidR="003673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3673DD">
        <w:rPr>
          <w:rFonts w:ascii="Times New Roman" w:hAnsi="Times New Roman" w:cs="Times New Roman"/>
          <w:color w:val="000000" w:themeColor="text1"/>
          <w:sz w:val="28"/>
          <w:szCs w:val="28"/>
        </w:rPr>
        <w:t>, от 11 сентября 2020 года № 25/149-</w:t>
      </w:r>
      <w:r w:rsidR="003673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D9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решением Совета депутатов </w:t>
      </w:r>
      <w:proofErr w:type="spellStart"/>
      <w:r w:rsidR="00D96A70">
        <w:rPr>
          <w:rFonts w:ascii="Times New Roman" w:hAnsi="Times New Roman" w:cs="Times New Roman"/>
          <w:color w:val="000000" w:themeColor="text1"/>
          <w:sz w:val="28"/>
          <w:szCs w:val="28"/>
        </w:rPr>
        <w:t>Степновского</w:t>
      </w:r>
      <w:proofErr w:type="spellEnd"/>
      <w:r w:rsidR="00D9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</w:t>
      </w:r>
      <w:r w:rsidR="0036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декабря 2020 года № 8/108-</w:t>
      </w:r>
      <w:r w:rsidR="003673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97D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97DE7" w:rsidRDefault="00415183" w:rsidP="00997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 xml:space="preserve">       </w:t>
      </w:r>
      <w:r w:rsidR="00997DE7"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  <w:t xml:space="preserve">7. </w:t>
      </w:r>
      <w:r w:rsidR="00997DE7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Соответствие контрольных соотношений между показателями форм годовой бюджетной отчетности соблюден</w:t>
      </w:r>
      <w:r w:rsidR="006164A6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о</w:t>
      </w:r>
      <w:r w:rsidR="00997DE7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.</w:t>
      </w:r>
    </w:p>
    <w:p w:rsidR="00997DE7" w:rsidRDefault="00997DE7" w:rsidP="00997DE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</w:pPr>
    </w:p>
    <w:p w:rsidR="00035427" w:rsidRPr="00842056" w:rsidRDefault="00035427" w:rsidP="00035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результатам проведенной внешней проверки годовая бюджетная отчетность главного администратора бюджетных средств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Управления труда и социальной защиты населения</w:t>
      </w:r>
      <w:r w:rsidR="00367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proofErr w:type="spellStart"/>
      <w:r w:rsidR="00367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367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</w:t>
      </w:r>
      <w:r w:rsidRPr="008420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Ставропольского края, признана достоверной.</w:t>
      </w:r>
    </w:p>
    <w:p w:rsidR="00035427" w:rsidRDefault="00035427" w:rsidP="00997DE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</w:pPr>
    </w:p>
    <w:p w:rsidR="00997DE7" w:rsidRDefault="00997DE7" w:rsidP="00997D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Предложения:</w:t>
      </w:r>
    </w:p>
    <w:p w:rsidR="00997DE7" w:rsidRDefault="00997DE7" w:rsidP="00997D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проведенной внешней </w:t>
      </w:r>
      <w:r w:rsidR="00367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проверки бюджетного отчета Управления труда за 2020 год Контрольно-счетный орган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рекомендует:</w:t>
      </w:r>
    </w:p>
    <w:p w:rsidR="00997DE7" w:rsidRDefault="00997DE7" w:rsidP="00997D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рассмотре</w:t>
      </w:r>
      <w:r w:rsidR="00367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 заключение Контрольно-счетного органа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результатах внешней проверки годо</w:t>
      </w:r>
      <w:r w:rsidR="00367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 бюджетной отчетности за 2020</w:t>
      </w:r>
      <w:r w:rsidR="004D1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и принять его к сведению;</w:t>
      </w:r>
    </w:p>
    <w:p w:rsidR="004D13A1" w:rsidRDefault="004D13A1" w:rsidP="00997D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 результатах рассмотрения проинформировать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счетный орган в срок до 01 мая 2021 года.</w:t>
      </w:r>
    </w:p>
    <w:p w:rsidR="00CC06A1" w:rsidRPr="007E115C" w:rsidRDefault="00CC06A1" w:rsidP="00C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Cs/>
          <w:color w:val="000000" w:themeColor="text1"/>
          <w:sz w:val="28"/>
          <w:szCs w:val="28"/>
          <w:lang w:eastAsia="ru-RU"/>
        </w:rPr>
      </w:pPr>
    </w:p>
    <w:p w:rsidR="00877E4E" w:rsidRPr="007E115C" w:rsidRDefault="007E115C" w:rsidP="007E11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Pr="007E115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E115C">
        <w:rPr>
          <w:rFonts w:ascii="Times New Roman" w:hAnsi="Times New Roman" w:cs="Times New Roman"/>
          <w:sz w:val="28"/>
          <w:szCs w:val="28"/>
        </w:rPr>
        <w:t xml:space="preserve"> - счётного органа</w:t>
      </w:r>
    </w:p>
    <w:p w:rsidR="00877E4E" w:rsidRPr="007E115C" w:rsidRDefault="007E115C" w:rsidP="007E11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15C">
        <w:rPr>
          <w:rFonts w:ascii="Times New Roman" w:hAnsi="Times New Roman" w:cs="Times New Roman"/>
          <w:sz w:val="28"/>
          <w:szCs w:val="28"/>
        </w:rPr>
        <w:t>Степн</w:t>
      </w:r>
      <w:r w:rsidR="00877E4E" w:rsidRPr="007E115C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77E4E" w:rsidRPr="007E115C">
        <w:rPr>
          <w:rFonts w:ascii="Times New Roman" w:hAnsi="Times New Roman" w:cs="Times New Roman"/>
          <w:sz w:val="28"/>
          <w:szCs w:val="28"/>
        </w:rPr>
        <w:t xml:space="preserve"> </w:t>
      </w:r>
      <w:r w:rsidRPr="007E115C">
        <w:rPr>
          <w:rFonts w:ascii="Times New Roman" w:hAnsi="Times New Roman" w:cs="Times New Roman"/>
          <w:sz w:val="28"/>
          <w:szCs w:val="28"/>
        </w:rPr>
        <w:t>муниципальн</w:t>
      </w:r>
      <w:r w:rsidR="009C1B6C" w:rsidRPr="007E115C">
        <w:rPr>
          <w:rFonts w:ascii="Times New Roman" w:hAnsi="Times New Roman" w:cs="Times New Roman"/>
          <w:sz w:val="28"/>
          <w:szCs w:val="28"/>
        </w:rPr>
        <w:t>ого округа</w:t>
      </w:r>
    </w:p>
    <w:p w:rsidR="00877E4E" w:rsidRPr="007E115C" w:rsidRDefault="00877E4E" w:rsidP="007E11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5062F5" w:rsidRPr="007E11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E115C">
        <w:rPr>
          <w:rFonts w:ascii="Times New Roman" w:hAnsi="Times New Roman" w:cs="Times New Roman"/>
          <w:sz w:val="28"/>
          <w:szCs w:val="28"/>
        </w:rPr>
        <w:t xml:space="preserve"> </w:t>
      </w:r>
      <w:r w:rsidR="00CB0EB0">
        <w:rPr>
          <w:rFonts w:ascii="Times New Roman" w:hAnsi="Times New Roman" w:cs="Times New Roman"/>
          <w:sz w:val="28"/>
          <w:szCs w:val="28"/>
        </w:rPr>
        <w:t xml:space="preserve">      </w:t>
      </w:r>
      <w:r w:rsidR="007E115C" w:rsidRPr="007E115C">
        <w:rPr>
          <w:rFonts w:ascii="Times New Roman" w:hAnsi="Times New Roman" w:cs="Times New Roman"/>
          <w:sz w:val="28"/>
          <w:szCs w:val="28"/>
        </w:rPr>
        <w:t>В.А</w:t>
      </w:r>
      <w:r w:rsidR="009C1B6C" w:rsidRPr="007E11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115C" w:rsidRPr="007E115C">
        <w:rPr>
          <w:rFonts w:ascii="Times New Roman" w:hAnsi="Times New Roman" w:cs="Times New Roman"/>
          <w:sz w:val="28"/>
          <w:szCs w:val="28"/>
        </w:rPr>
        <w:t>Минец</w:t>
      </w:r>
      <w:proofErr w:type="spellEnd"/>
    </w:p>
    <w:p w:rsidR="00751924" w:rsidRPr="00842056" w:rsidRDefault="00751924" w:rsidP="007F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3F" w:rsidRPr="00842056" w:rsidRDefault="005F5A3F" w:rsidP="007F0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C57" w:rsidRDefault="00D15C57" w:rsidP="007F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56">
        <w:rPr>
          <w:rFonts w:ascii="Times New Roman" w:hAnsi="Times New Roman" w:cs="Times New Roman"/>
          <w:sz w:val="28"/>
          <w:szCs w:val="28"/>
        </w:rPr>
        <w:t>Заключение получено «____»_______________20___г.</w:t>
      </w:r>
    </w:p>
    <w:p w:rsidR="00CB0EB0" w:rsidRPr="00842056" w:rsidRDefault="00CB0EB0" w:rsidP="007F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5B0" w:rsidRPr="00842056" w:rsidRDefault="005515B0" w:rsidP="007F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98" w:rsidRDefault="00CB0EB0" w:rsidP="007E115C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Руководи</w:t>
      </w:r>
      <w:r w:rsidR="00EA74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тель ликвидационной комиссии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         </w:t>
      </w:r>
      <w:proofErr w:type="spellStart"/>
      <w:r w:rsidR="00EA74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Т.И.Шарлай</w:t>
      </w:r>
      <w:proofErr w:type="spellEnd"/>
      <w:r w:rsidR="0056023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           </w:t>
      </w:r>
      <w:r w:rsidR="007E115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   </w:t>
      </w:r>
    </w:p>
    <w:p w:rsidR="00363D23" w:rsidRPr="00842056" w:rsidRDefault="00363D23" w:rsidP="007E115C">
      <w:pPr>
        <w:suppressAutoHyphens/>
        <w:spacing w:after="0" w:line="240" w:lineRule="exact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363D23" w:rsidRPr="00842056" w:rsidSect="00997DE7">
      <w:headerReference w:type="default" r:id="rId27"/>
      <w:pgSz w:w="11907" w:h="16840" w:code="9"/>
      <w:pgMar w:top="1134" w:right="851" w:bottom="851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71" w:rsidRDefault="00F17671" w:rsidP="005515B0">
      <w:pPr>
        <w:spacing w:after="0" w:line="240" w:lineRule="auto"/>
      </w:pPr>
      <w:r>
        <w:separator/>
      </w:r>
    </w:p>
  </w:endnote>
  <w:endnote w:type="continuationSeparator" w:id="0">
    <w:p w:rsidR="00F17671" w:rsidRDefault="00F17671" w:rsidP="0055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71" w:rsidRDefault="00F17671" w:rsidP="005515B0">
      <w:pPr>
        <w:spacing w:after="0" w:line="240" w:lineRule="auto"/>
      </w:pPr>
      <w:r>
        <w:separator/>
      </w:r>
    </w:p>
  </w:footnote>
  <w:footnote w:type="continuationSeparator" w:id="0">
    <w:p w:rsidR="00F17671" w:rsidRDefault="00F17671" w:rsidP="0055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09766"/>
      <w:docPartObj>
        <w:docPartGallery w:val="Page Numbers (Top of Page)"/>
        <w:docPartUnique/>
      </w:docPartObj>
    </w:sdtPr>
    <w:sdtEndPr/>
    <w:sdtContent>
      <w:p w:rsidR="005515B0" w:rsidRDefault="00383CD2">
        <w:pPr>
          <w:pStyle w:val="a9"/>
          <w:jc w:val="right"/>
        </w:pPr>
        <w:r>
          <w:fldChar w:fldCharType="begin"/>
        </w:r>
        <w:r w:rsidR="005515B0">
          <w:instrText>PAGE   \* MERGEFORMAT</w:instrText>
        </w:r>
        <w:r>
          <w:fldChar w:fldCharType="separate"/>
        </w:r>
        <w:r w:rsidR="00E22E58">
          <w:rPr>
            <w:noProof/>
          </w:rPr>
          <w:t>12</w:t>
        </w:r>
        <w:r>
          <w:fldChar w:fldCharType="end"/>
        </w:r>
      </w:p>
    </w:sdtContent>
  </w:sdt>
  <w:p w:rsidR="005515B0" w:rsidRDefault="005515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EAC"/>
    <w:rsid w:val="000079B7"/>
    <w:rsid w:val="00013351"/>
    <w:rsid w:val="00030824"/>
    <w:rsid w:val="00035427"/>
    <w:rsid w:val="00035D86"/>
    <w:rsid w:val="00035FE1"/>
    <w:rsid w:val="00037215"/>
    <w:rsid w:val="00040652"/>
    <w:rsid w:val="00044EEF"/>
    <w:rsid w:val="0005389B"/>
    <w:rsid w:val="000559EA"/>
    <w:rsid w:val="0007068B"/>
    <w:rsid w:val="00072B34"/>
    <w:rsid w:val="0007433E"/>
    <w:rsid w:val="00086CB8"/>
    <w:rsid w:val="0008765A"/>
    <w:rsid w:val="000A041E"/>
    <w:rsid w:val="000A30A3"/>
    <w:rsid w:val="000A52B7"/>
    <w:rsid w:val="000A78DA"/>
    <w:rsid w:val="000E2EAC"/>
    <w:rsid w:val="000E6450"/>
    <w:rsid w:val="000F6AD4"/>
    <w:rsid w:val="000F79BD"/>
    <w:rsid w:val="0010043D"/>
    <w:rsid w:val="00102864"/>
    <w:rsid w:val="001045B8"/>
    <w:rsid w:val="00107D7A"/>
    <w:rsid w:val="00117361"/>
    <w:rsid w:val="00121342"/>
    <w:rsid w:val="0012549D"/>
    <w:rsid w:val="0013075A"/>
    <w:rsid w:val="001444C5"/>
    <w:rsid w:val="0015569F"/>
    <w:rsid w:val="00166B01"/>
    <w:rsid w:val="00167AD2"/>
    <w:rsid w:val="00167EAF"/>
    <w:rsid w:val="00181E1D"/>
    <w:rsid w:val="0019238A"/>
    <w:rsid w:val="0019391C"/>
    <w:rsid w:val="001958A9"/>
    <w:rsid w:val="001A056E"/>
    <w:rsid w:val="001A0647"/>
    <w:rsid w:val="001A10C3"/>
    <w:rsid w:val="001A1A4C"/>
    <w:rsid w:val="001A318D"/>
    <w:rsid w:val="001B13D9"/>
    <w:rsid w:val="001B2B5A"/>
    <w:rsid w:val="001B6C9B"/>
    <w:rsid w:val="001D369B"/>
    <w:rsid w:val="001D3C84"/>
    <w:rsid w:val="001E4974"/>
    <w:rsid w:val="001E5FE3"/>
    <w:rsid w:val="001F38FE"/>
    <w:rsid w:val="001F6B6A"/>
    <w:rsid w:val="00211CD7"/>
    <w:rsid w:val="00234BC2"/>
    <w:rsid w:val="00242887"/>
    <w:rsid w:val="00246824"/>
    <w:rsid w:val="00255D65"/>
    <w:rsid w:val="00264E01"/>
    <w:rsid w:val="00270847"/>
    <w:rsid w:val="00273163"/>
    <w:rsid w:val="00282FD1"/>
    <w:rsid w:val="00284CA3"/>
    <w:rsid w:val="00293621"/>
    <w:rsid w:val="0029669D"/>
    <w:rsid w:val="002972E9"/>
    <w:rsid w:val="00297824"/>
    <w:rsid w:val="002A1009"/>
    <w:rsid w:val="002A2459"/>
    <w:rsid w:val="002A24CD"/>
    <w:rsid w:val="002A4549"/>
    <w:rsid w:val="002A6AD0"/>
    <w:rsid w:val="002B13C6"/>
    <w:rsid w:val="002C1DB8"/>
    <w:rsid w:val="002C7363"/>
    <w:rsid w:val="002D00BE"/>
    <w:rsid w:val="002E13F5"/>
    <w:rsid w:val="002F4953"/>
    <w:rsid w:val="00302D1C"/>
    <w:rsid w:val="00303212"/>
    <w:rsid w:val="00306AAE"/>
    <w:rsid w:val="003114E3"/>
    <w:rsid w:val="0032442A"/>
    <w:rsid w:val="003411C0"/>
    <w:rsid w:val="00347165"/>
    <w:rsid w:val="00347E74"/>
    <w:rsid w:val="00356F57"/>
    <w:rsid w:val="0036279F"/>
    <w:rsid w:val="00363D23"/>
    <w:rsid w:val="003673DD"/>
    <w:rsid w:val="003674F6"/>
    <w:rsid w:val="00383CD2"/>
    <w:rsid w:val="003916E4"/>
    <w:rsid w:val="0039396B"/>
    <w:rsid w:val="003B015E"/>
    <w:rsid w:val="003B3A2F"/>
    <w:rsid w:val="003B64E0"/>
    <w:rsid w:val="003C2220"/>
    <w:rsid w:val="003D2E68"/>
    <w:rsid w:val="003E43D6"/>
    <w:rsid w:val="003E490D"/>
    <w:rsid w:val="003E5C9F"/>
    <w:rsid w:val="00402701"/>
    <w:rsid w:val="00413D97"/>
    <w:rsid w:val="00415183"/>
    <w:rsid w:val="00423042"/>
    <w:rsid w:val="0042617A"/>
    <w:rsid w:val="00434BB1"/>
    <w:rsid w:val="00436B2C"/>
    <w:rsid w:val="004373A5"/>
    <w:rsid w:val="00443C01"/>
    <w:rsid w:val="00446170"/>
    <w:rsid w:val="00451A52"/>
    <w:rsid w:val="00454D68"/>
    <w:rsid w:val="0045539F"/>
    <w:rsid w:val="00457CED"/>
    <w:rsid w:val="004622E2"/>
    <w:rsid w:val="00464C18"/>
    <w:rsid w:val="00464E11"/>
    <w:rsid w:val="00477CA7"/>
    <w:rsid w:val="00485FC6"/>
    <w:rsid w:val="004B4305"/>
    <w:rsid w:val="004B7B0C"/>
    <w:rsid w:val="004C4FE7"/>
    <w:rsid w:val="004C638A"/>
    <w:rsid w:val="004D13A1"/>
    <w:rsid w:val="004D7A79"/>
    <w:rsid w:val="004E0E2E"/>
    <w:rsid w:val="00503A63"/>
    <w:rsid w:val="00505955"/>
    <w:rsid w:val="005062F5"/>
    <w:rsid w:val="005076C8"/>
    <w:rsid w:val="00512827"/>
    <w:rsid w:val="00514FD8"/>
    <w:rsid w:val="00515AA1"/>
    <w:rsid w:val="00524EA1"/>
    <w:rsid w:val="00532C0C"/>
    <w:rsid w:val="005351C9"/>
    <w:rsid w:val="0054016E"/>
    <w:rsid w:val="00542D59"/>
    <w:rsid w:val="00545AF3"/>
    <w:rsid w:val="00545E85"/>
    <w:rsid w:val="0055052A"/>
    <w:rsid w:val="005515B0"/>
    <w:rsid w:val="00560237"/>
    <w:rsid w:val="005673F7"/>
    <w:rsid w:val="00575076"/>
    <w:rsid w:val="00584A16"/>
    <w:rsid w:val="00587E97"/>
    <w:rsid w:val="00591692"/>
    <w:rsid w:val="005A5E23"/>
    <w:rsid w:val="005A7176"/>
    <w:rsid w:val="005B13BD"/>
    <w:rsid w:val="005C1C0D"/>
    <w:rsid w:val="005C3CDB"/>
    <w:rsid w:val="005C4C3F"/>
    <w:rsid w:val="005D7D01"/>
    <w:rsid w:val="005E382E"/>
    <w:rsid w:val="005E56FA"/>
    <w:rsid w:val="005F1415"/>
    <w:rsid w:val="005F2670"/>
    <w:rsid w:val="005F5A3F"/>
    <w:rsid w:val="006023FC"/>
    <w:rsid w:val="00605530"/>
    <w:rsid w:val="006102D8"/>
    <w:rsid w:val="006164A6"/>
    <w:rsid w:val="00616FE0"/>
    <w:rsid w:val="006225EA"/>
    <w:rsid w:val="0062735C"/>
    <w:rsid w:val="00634625"/>
    <w:rsid w:val="00636E1C"/>
    <w:rsid w:val="006401B4"/>
    <w:rsid w:val="00645218"/>
    <w:rsid w:val="00645481"/>
    <w:rsid w:val="006649C4"/>
    <w:rsid w:val="00667222"/>
    <w:rsid w:val="006767B8"/>
    <w:rsid w:val="006855B8"/>
    <w:rsid w:val="00686D5F"/>
    <w:rsid w:val="00691B46"/>
    <w:rsid w:val="00692E9C"/>
    <w:rsid w:val="00694E8D"/>
    <w:rsid w:val="00696EBE"/>
    <w:rsid w:val="006A6451"/>
    <w:rsid w:val="006A7707"/>
    <w:rsid w:val="006A7A48"/>
    <w:rsid w:val="006B58C2"/>
    <w:rsid w:val="006B5C3E"/>
    <w:rsid w:val="006B7930"/>
    <w:rsid w:val="006C0A2E"/>
    <w:rsid w:val="006C36EB"/>
    <w:rsid w:val="006D37FD"/>
    <w:rsid w:val="006E7167"/>
    <w:rsid w:val="006F0140"/>
    <w:rsid w:val="00700FD1"/>
    <w:rsid w:val="007103B8"/>
    <w:rsid w:val="00714599"/>
    <w:rsid w:val="007212FA"/>
    <w:rsid w:val="0072551C"/>
    <w:rsid w:val="00731DE5"/>
    <w:rsid w:val="00733640"/>
    <w:rsid w:val="007408A6"/>
    <w:rsid w:val="00751924"/>
    <w:rsid w:val="00757C72"/>
    <w:rsid w:val="00765F81"/>
    <w:rsid w:val="00767FC5"/>
    <w:rsid w:val="007777BC"/>
    <w:rsid w:val="00796FD0"/>
    <w:rsid w:val="007A3F4A"/>
    <w:rsid w:val="007A6E42"/>
    <w:rsid w:val="007B217A"/>
    <w:rsid w:val="007B6860"/>
    <w:rsid w:val="007B739F"/>
    <w:rsid w:val="007C11B2"/>
    <w:rsid w:val="007C2931"/>
    <w:rsid w:val="007C5168"/>
    <w:rsid w:val="007C7157"/>
    <w:rsid w:val="007E115C"/>
    <w:rsid w:val="007E1B7B"/>
    <w:rsid w:val="007E3B25"/>
    <w:rsid w:val="007E55BF"/>
    <w:rsid w:val="007F01E3"/>
    <w:rsid w:val="007F23D8"/>
    <w:rsid w:val="007F7D11"/>
    <w:rsid w:val="008056C7"/>
    <w:rsid w:val="008143DB"/>
    <w:rsid w:val="00814B8C"/>
    <w:rsid w:val="00822A53"/>
    <w:rsid w:val="00823E88"/>
    <w:rsid w:val="00836330"/>
    <w:rsid w:val="00842056"/>
    <w:rsid w:val="00846A9F"/>
    <w:rsid w:val="00850B5E"/>
    <w:rsid w:val="0085243B"/>
    <w:rsid w:val="00852808"/>
    <w:rsid w:val="00855ABD"/>
    <w:rsid w:val="00861340"/>
    <w:rsid w:val="00862B0F"/>
    <w:rsid w:val="00870EF3"/>
    <w:rsid w:val="00877E4E"/>
    <w:rsid w:val="00882001"/>
    <w:rsid w:val="008846E1"/>
    <w:rsid w:val="008854C9"/>
    <w:rsid w:val="008A0AC8"/>
    <w:rsid w:val="008A0FC1"/>
    <w:rsid w:val="008A1E18"/>
    <w:rsid w:val="008A7716"/>
    <w:rsid w:val="008B186E"/>
    <w:rsid w:val="008B4DAA"/>
    <w:rsid w:val="008C41DB"/>
    <w:rsid w:val="008C7195"/>
    <w:rsid w:val="008C7AD0"/>
    <w:rsid w:val="008F2AD5"/>
    <w:rsid w:val="009006D2"/>
    <w:rsid w:val="009044D7"/>
    <w:rsid w:val="00907CC4"/>
    <w:rsid w:val="009104D9"/>
    <w:rsid w:val="00917D39"/>
    <w:rsid w:val="00925532"/>
    <w:rsid w:val="00934794"/>
    <w:rsid w:val="009347C0"/>
    <w:rsid w:val="00934C53"/>
    <w:rsid w:val="00943D42"/>
    <w:rsid w:val="00951D8C"/>
    <w:rsid w:val="009520EC"/>
    <w:rsid w:val="00954EF6"/>
    <w:rsid w:val="0096002F"/>
    <w:rsid w:val="00960362"/>
    <w:rsid w:val="00967A0D"/>
    <w:rsid w:val="0097079D"/>
    <w:rsid w:val="00977B36"/>
    <w:rsid w:val="009825CB"/>
    <w:rsid w:val="00986A82"/>
    <w:rsid w:val="00987B55"/>
    <w:rsid w:val="00992779"/>
    <w:rsid w:val="00995039"/>
    <w:rsid w:val="00997DE7"/>
    <w:rsid w:val="009A7DF9"/>
    <w:rsid w:val="009C0093"/>
    <w:rsid w:val="009C1B6C"/>
    <w:rsid w:val="009C2916"/>
    <w:rsid w:val="009C2AEF"/>
    <w:rsid w:val="009C2F99"/>
    <w:rsid w:val="009D00D7"/>
    <w:rsid w:val="009D282C"/>
    <w:rsid w:val="009F1D72"/>
    <w:rsid w:val="00A107DB"/>
    <w:rsid w:val="00A12633"/>
    <w:rsid w:val="00A12E18"/>
    <w:rsid w:val="00A42157"/>
    <w:rsid w:val="00A50881"/>
    <w:rsid w:val="00A5180D"/>
    <w:rsid w:val="00A67BB6"/>
    <w:rsid w:val="00A70021"/>
    <w:rsid w:val="00A90561"/>
    <w:rsid w:val="00A91707"/>
    <w:rsid w:val="00A93871"/>
    <w:rsid w:val="00A97E0D"/>
    <w:rsid w:val="00AA289C"/>
    <w:rsid w:val="00AA5866"/>
    <w:rsid w:val="00AD45C6"/>
    <w:rsid w:val="00AE51EF"/>
    <w:rsid w:val="00B000F9"/>
    <w:rsid w:val="00B00A05"/>
    <w:rsid w:val="00B00AFF"/>
    <w:rsid w:val="00B25F7D"/>
    <w:rsid w:val="00B32AEE"/>
    <w:rsid w:val="00B34D7B"/>
    <w:rsid w:val="00B40BF2"/>
    <w:rsid w:val="00B433E0"/>
    <w:rsid w:val="00B56406"/>
    <w:rsid w:val="00B74AE4"/>
    <w:rsid w:val="00B7593D"/>
    <w:rsid w:val="00B92490"/>
    <w:rsid w:val="00B93F46"/>
    <w:rsid w:val="00B9403F"/>
    <w:rsid w:val="00B9404B"/>
    <w:rsid w:val="00B9742E"/>
    <w:rsid w:val="00B97A36"/>
    <w:rsid w:val="00BA0458"/>
    <w:rsid w:val="00BA2B88"/>
    <w:rsid w:val="00BB193A"/>
    <w:rsid w:val="00BC0FF4"/>
    <w:rsid w:val="00BC3BD8"/>
    <w:rsid w:val="00BD0F71"/>
    <w:rsid w:val="00BD1AE7"/>
    <w:rsid w:val="00BD7367"/>
    <w:rsid w:val="00BE1255"/>
    <w:rsid w:val="00BE308B"/>
    <w:rsid w:val="00BF352A"/>
    <w:rsid w:val="00BF69A1"/>
    <w:rsid w:val="00C13514"/>
    <w:rsid w:val="00C21D59"/>
    <w:rsid w:val="00C311BB"/>
    <w:rsid w:val="00C41651"/>
    <w:rsid w:val="00C45BB3"/>
    <w:rsid w:val="00C471E0"/>
    <w:rsid w:val="00C51C95"/>
    <w:rsid w:val="00C5456F"/>
    <w:rsid w:val="00C602B4"/>
    <w:rsid w:val="00C66144"/>
    <w:rsid w:val="00C66F02"/>
    <w:rsid w:val="00C675ED"/>
    <w:rsid w:val="00C7198A"/>
    <w:rsid w:val="00C75507"/>
    <w:rsid w:val="00C81601"/>
    <w:rsid w:val="00C94AAD"/>
    <w:rsid w:val="00CA2B56"/>
    <w:rsid w:val="00CA42B1"/>
    <w:rsid w:val="00CA6A36"/>
    <w:rsid w:val="00CB0638"/>
    <w:rsid w:val="00CB0EB0"/>
    <w:rsid w:val="00CC06A1"/>
    <w:rsid w:val="00CC7205"/>
    <w:rsid w:val="00CD5F00"/>
    <w:rsid w:val="00CE0483"/>
    <w:rsid w:val="00CE3DEF"/>
    <w:rsid w:val="00CE7D08"/>
    <w:rsid w:val="00CF319B"/>
    <w:rsid w:val="00CF5B5B"/>
    <w:rsid w:val="00D028E2"/>
    <w:rsid w:val="00D07700"/>
    <w:rsid w:val="00D07B27"/>
    <w:rsid w:val="00D07BDD"/>
    <w:rsid w:val="00D15A5F"/>
    <w:rsid w:val="00D15C57"/>
    <w:rsid w:val="00D20D77"/>
    <w:rsid w:val="00D2451D"/>
    <w:rsid w:val="00D24AA2"/>
    <w:rsid w:val="00D27B0D"/>
    <w:rsid w:val="00D30C5F"/>
    <w:rsid w:val="00D340E0"/>
    <w:rsid w:val="00D461E7"/>
    <w:rsid w:val="00D54C3F"/>
    <w:rsid w:val="00D563FB"/>
    <w:rsid w:val="00D60CB9"/>
    <w:rsid w:val="00D62DF1"/>
    <w:rsid w:val="00D65C53"/>
    <w:rsid w:val="00D70CED"/>
    <w:rsid w:val="00D92219"/>
    <w:rsid w:val="00D9571A"/>
    <w:rsid w:val="00D95D60"/>
    <w:rsid w:val="00D96A70"/>
    <w:rsid w:val="00D96EC7"/>
    <w:rsid w:val="00D97FF0"/>
    <w:rsid w:val="00DB65BA"/>
    <w:rsid w:val="00DC1F65"/>
    <w:rsid w:val="00DD7505"/>
    <w:rsid w:val="00DF07C8"/>
    <w:rsid w:val="00DF2F1F"/>
    <w:rsid w:val="00E03598"/>
    <w:rsid w:val="00E05053"/>
    <w:rsid w:val="00E13721"/>
    <w:rsid w:val="00E1667E"/>
    <w:rsid w:val="00E2172A"/>
    <w:rsid w:val="00E22E58"/>
    <w:rsid w:val="00E24551"/>
    <w:rsid w:val="00E24D47"/>
    <w:rsid w:val="00E30BE7"/>
    <w:rsid w:val="00E4073A"/>
    <w:rsid w:val="00E40AE1"/>
    <w:rsid w:val="00E52412"/>
    <w:rsid w:val="00E6077F"/>
    <w:rsid w:val="00E614ED"/>
    <w:rsid w:val="00E94B50"/>
    <w:rsid w:val="00E957AB"/>
    <w:rsid w:val="00E97824"/>
    <w:rsid w:val="00EA2814"/>
    <w:rsid w:val="00EA7498"/>
    <w:rsid w:val="00EA759E"/>
    <w:rsid w:val="00EC0A4D"/>
    <w:rsid w:val="00EE61EC"/>
    <w:rsid w:val="00F00813"/>
    <w:rsid w:val="00F04FF0"/>
    <w:rsid w:val="00F10C64"/>
    <w:rsid w:val="00F17671"/>
    <w:rsid w:val="00F24535"/>
    <w:rsid w:val="00F33869"/>
    <w:rsid w:val="00F36CE0"/>
    <w:rsid w:val="00F370F9"/>
    <w:rsid w:val="00F5703B"/>
    <w:rsid w:val="00F57342"/>
    <w:rsid w:val="00F7383D"/>
    <w:rsid w:val="00F82FA5"/>
    <w:rsid w:val="00F848A3"/>
    <w:rsid w:val="00F900B3"/>
    <w:rsid w:val="00F9615E"/>
    <w:rsid w:val="00FA5C91"/>
    <w:rsid w:val="00FB5073"/>
    <w:rsid w:val="00FC4430"/>
    <w:rsid w:val="00FD05DB"/>
    <w:rsid w:val="00FD0BD5"/>
    <w:rsid w:val="00FD40F0"/>
    <w:rsid w:val="00FD5D13"/>
    <w:rsid w:val="00FE4721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98C0-14B7-4AD4-A6AC-7A8584CE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E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EAC"/>
  </w:style>
  <w:style w:type="paragraph" w:styleId="a4">
    <w:name w:val="Balloon Text"/>
    <w:basedOn w:val="a"/>
    <w:link w:val="a5"/>
    <w:uiPriority w:val="99"/>
    <w:semiHidden/>
    <w:unhideWhenUsed/>
    <w:rsid w:val="0046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1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15C57"/>
    <w:rPr>
      <w:color w:val="0066CC"/>
      <w:u w:val="single"/>
    </w:rPr>
  </w:style>
  <w:style w:type="character" w:customStyle="1" w:styleId="a7">
    <w:name w:val="Основной текст_"/>
    <w:basedOn w:val="a0"/>
    <w:link w:val="1"/>
    <w:rsid w:val="00D15C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15C57"/>
    <w:pPr>
      <w:shd w:val="clear" w:color="auto" w:fill="FFFFFF"/>
      <w:spacing w:after="0" w:line="319" w:lineRule="exact"/>
      <w:ind w:hanging="360"/>
      <w:jc w:val="right"/>
    </w:pPr>
    <w:rPr>
      <w:rFonts w:ascii="Times New Roman" w:eastAsia="Times New Roman" w:hAnsi="Times New Roman" w:cs="Times New Roman"/>
      <w:sz w:val="25"/>
      <w:szCs w:val="25"/>
    </w:rPr>
  </w:style>
  <w:style w:type="table" w:styleId="a8">
    <w:name w:val="Table Grid"/>
    <w:basedOn w:val="a1"/>
    <w:uiPriority w:val="59"/>
    <w:rsid w:val="00A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8F2AD5"/>
    <w:pP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4">
    <w:name w:val="Основной текст (4)"/>
    <w:basedOn w:val="a0"/>
    <w:rsid w:val="00870E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55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15B0"/>
  </w:style>
  <w:style w:type="paragraph" w:styleId="ab">
    <w:name w:val="footer"/>
    <w:basedOn w:val="a"/>
    <w:link w:val="ac"/>
    <w:uiPriority w:val="99"/>
    <w:unhideWhenUsed/>
    <w:rsid w:val="0055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5B0"/>
  </w:style>
  <w:style w:type="paragraph" w:styleId="ad">
    <w:name w:val="List Paragraph"/>
    <w:basedOn w:val="a"/>
    <w:uiPriority w:val="34"/>
    <w:qFormat/>
    <w:rsid w:val="000A52B7"/>
    <w:pPr>
      <w:ind w:left="720"/>
      <w:contextualSpacing/>
    </w:pPr>
  </w:style>
  <w:style w:type="character" w:styleId="ae">
    <w:name w:val="Strong"/>
    <w:basedOn w:val="a0"/>
    <w:uiPriority w:val="22"/>
    <w:qFormat/>
    <w:rsid w:val="00284CA3"/>
    <w:rPr>
      <w:b/>
      <w:bCs/>
    </w:rPr>
  </w:style>
  <w:style w:type="character" w:customStyle="1" w:styleId="Absatz-Standardschriftart">
    <w:name w:val="Absatz-Standardschriftart"/>
    <w:rsid w:val="007C2931"/>
  </w:style>
  <w:style w:type="character" w:customStyle="1" w:styleId="fontstyle01">
    <w:name w:val="fontstyle01"/>
    <w:rsid w:val="00030824"/>
    <w:rPr>
      <w:rFonts w:ascii="Sylfaen" w:hAnsi="Sylfae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3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8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606B94E828066B8D76285E23DF32168778490067BDDFF3C74D53D4EB553987FB326D6DA2CA09D07BC81E4177E38E3C808F07C93C4C59Aj9h0H" TargetMode="External"/><Relationship Id="rId13" Type="http://schemas.openxmlformats.org/officeDocument/2006/relationships/hyperlink" Target="consultantplus://offline/ref=DA7606B94E828066B8D76285E23DF32168778490067BDDFF3C74D53D4EB553987FB326D6DA2BA49C08BC81E4177E38E3C808F07C93C4C59Aj9h0H" TargetMode="External"/><Relationship Id="rId18" Type="http://schemas.openxmlformats.org/officeDocument/2006/relationships/hyperlink" Target="consultantplus://offline/ref=A844AE6E8EF91E211625703472EC886820EB44BDBB8D4BC66EC4BBEB16EA3CBC42D136FB8118C14002CD2D5E00D4A912E6FD0807224FcDKAJ" TargetMode="External"/><Relationship Id="rId26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785B0E9913D7AA6C8E7933E20B14F9936CE00A0D92A198EA680883D22D8320255730C8409155EC00F44630366DBECE1C260468BDB3jCBAI" TargetMode="External"/><Relationship Id="rId7" Type="http://schemas.openxmlformats.org/officeDocument/2006/relationships/hyperlink" Target="consultantplus://offline/ref=DA7606B94E828066B8D76285E23DF32168778490067BDDFF3C74D53D4EB553987FB326D6DA2CA09C0EBC81E4177E38E3C808F07C93C4C59Aj9h0H" TargetMode="External"/><Relationship Id="rId12" Type="http://schemas.openxmlformats.org/officeDocument/2006/relationships/hyperlink" Target="consultantplus://offline/ref=DA7606B94E828066B8D76285E23DF32168778490067BDDFF3C74D53D4EB553987FB326D6DA2CA19907BC81E4177E38E3C808F07C93C4C59Aj9h0H" TargetMode="External"/><Relationship Id="rId17" Type="http://schemas.openxmlformats.org/officeDocument/2006/relationships/hyperlink" Target="consultantplus://offline/ref=9F0BB211514BF0C577B5271B23EDD56BEBA5EDAF7F6F4609CFBB1748F32D9C485A1D20D80167B5A054743E1945FC4DF6B918060B74FFBCE0d0AFI" TargetMode="External"/><Relationship Id="rId25" Type="http://schemas.openxmlformats.org/officeDocument/2006/relationships/hyperlink" Target="https://base.garant.ru/70650726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4B6897A9455084FF92978AE512AE2938497EEC2C73D43E18FAC8D2524F792323A3DBD6E19796FDBFA2935AF196CBB6723939ACF4EB3F3J7ACI" TargetMode="External"/><Relationship Id="rId20" Type="http://schemas.openxmlformats.org/officeDocument/2006/relationships/hyperlink" Target="consultantplus://offline/ref=E8494B96FF97481F70DE9E993B94AA330C185558506FC7266E109A877023D9ADA8455BE212CFB6A2986E9311C1D9A4BE677022EBE10CB781WBB1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606B94E828066B8D76285E23DF32168778490067BDDFF3C74D53D4EB553987FB326D6DA2CA29D0DBC81E4177E38E3C808F07C93C4C59Aj9h0H" TargetMode="External"/><Relationship Id="rId11" Type="http://schemas.openxmlformats.org/officeDocument/2006/relationships/hyperlink" Target="consultantplus://offline/ref=DA7606B94E828066B8D76285E23DF32168778490067BDDFF3C74D53D4EB553987FB326D6DA2CA09508BC81E4177E38E3C808F07C93C4C59Aj9h0H" TargetMode="External"/><Relationship Id="rId24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83618A8F638027C3E816849CC1736CF7A56AE7849F02F4AD6A3DDDC55C8CCB1570E29B7F62DAD8A675A3BB176874C25D3AB373F04E5EB31IB70H" TargetMode="External"/><Relationship Id="rId23" Type="http://schemas.openxmlformats.org/officeDocument/2006/relationships/hyperlink" Target="consultantplus://offline/ref=CCE84766B6E1828664339AE7A8384D9AC04536DF32F9C0C83FF7F7483F1BBE2053787EEBFE2956EF916AFA9CED030C7732DAA38FECFD2593F0D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7606B94E828066B8D76285E23DF32168778490067BDDFF3C74D53D4EB553987FB326D6DA2CA09508BC81E4177E38E3C808F07C93C4C59Aj9h0H" TargetMode="External"/><Relationship Id="rId19" Type="http://schemas.openxmlformats.org/officeDocument/2006/relationships/hyperlink" Target="consultantplus://offline/ref=3EC76C202212DE313BA127AFFC41CD582332B37720B49F4CCABA0A8C5EC6F229ED1E7C553E0C0A767B47CAB21BF8C419841AE4913DF4I9B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7606B94E828066B8D76285E23DF32168778490067BDDFF3C74D53D4EB553987FB326D6DA2CA0990DBC81E4177E38E3C808F07C93C4C59Aj9h0H" TargetMode="External"/><Relationship Id="rId14" Type="http://schemas.openxmlformats.org/officeDocument/2006/relationships/hyperlink" Target="consultantplus://offline/ref=DA7606B94E828066B8D76285E23DF32168778490067BDDFF3C74D53D4EB553987FB326D6DA2CAB9508BC81E4177E38E3C808F07C93C4C59Aj9h0H" TargetMode="External"/><Relationship Id="rId22" Type="http://schemas.openxmlformats.org/officeDocument/2006/relationships/hyperlink" Target="consultantplus://offline/ref=0ED9D8FAAE81E4D47E61A95B2EA0B8F8A2AEBD93C5E4C326C277655B37A09860B6C5AF309769CF4D45178146B03C7CB8730627232486o5M7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4347</TotalTime>
  <Pages>12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11</cp:lastModifiedBy>
  <cp:revision>131</cp:revision>
  <cp:lastPrinted>2021-04-07T13:49:00Z</cp:lastPrinted>
  <dcterms:created xsi:type="dcterms:W3CDTF">2015-04-09T11:49:00Z</dcterms:created>
  <dcterms:modified xsi:type="dcterms:W3CDTF">2021-04-07T13:53:00Z</dcterms:modified>
</cp:coreProperties>
</file>